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364" w:rsidRPr="00D37364" w:rsidRDefault="00D37364" w:rsidP="00D37364">
      <w:pPr>
        <w:snapToGrid w:val="0"/>
        <w:spacing w:line="320" w:lineRule="exact"/>
        <w:jc w:val="right"/>
        <w:rPr>
          <w:rFonts w:ascii="標楷體" w:eastAsia="標楷體" w:hAnsi="Times New Roman" w:cs="Times New Roman" w:hint="eastAsia"/>
          <w:szCs w:val="24"/>
        </w:rPr>
      </w:pPr>
      <w:r w:rsidRPr="00D37364">
        <w:rPr>
          <w:rFonts w:ascii="標楷體" w:eastAsia="標楷體" w:hAnsi="Times New Roman" w:cs="Times New Roman" w:hint="eastAsia"/>
          <w:szCs w:val="24"/>
        </w:rPr>
        <w:t>附件八-1</w:t>
      </w:r>
    </w:p>
    <w:p w:rsidR="002C55DA" w:rsidRPr="002C55DA" w:rsidRDefault="002C55DA" w:rsidP="002C55DA">
      <w:pPr>
        <w:snapToGrid w:val="0"/>
        <w:spacing w:line="320" w:lineRule="exact"/>
        <w:jc w:val="center"/>
        <w:rPr>
          <w:rFonts w:ascii="標楷體" w:eastAsia="標楷體" w:hAnsi="Times New Roman" w:cs="Times New Roman"/>
          <w:b/>
          <w:sz w:val="28"/>
          <w:szCs w:val="20"/>
        </w:rPr>
      </w:pPr>
      <w:proofErr w:type="gramStart"/>
      <w:r w:rsidRPr="002C55DA">
        <w:rPr>
          <w:rFonts w:ascii="標楷體" w:eastAsia="標楷體" w:hAnsi="Times New Roman" w:cs="Times New Roman" w:hint="eastAsia"/>
          <w:b/>
          <w:sz w:val="28"/>
          <w:szCs w:val="20"/>
        </w:rPr>
        <w:t>育富電子</w:t>
      </w:r>
      <w:proofErr w:type="gramEnd"/>
      <w:r w:rsidRPr="002C55DA">
        <w:rPr>
          <w:rFonts w:ascii="標楷體" w:eastAsia="標楷體" w:hAnsi="Times New Roman" w:cs="Times New Roman" w:hint="eastAsia"/>
          <w:b/>
          <w:sz w:val="28"/>
          <w:szCs w:val="20"/>
        </w:rPr>
        <w:t>股份有限公司</w:t>
      </w:r>
    </w:p>
    <w:p w:rsidR="002C55DA" w:rsidRPr="002C55DA" w:rsidRDefault="002C55DA" w:rsidP="002C55DA">
      <w:pPr>
        <w:snapToGrid w:val="0"/>
        <w:spacing w:before="120" w:line="360" w:lineRule="atLeast"/>
        <w:jc w:val="center"/>
        <w:rPr>
          <w:rFonts w:ascii="標楷體" w:eastAsia="標楷體" w:hAnsi="Times New Roman" w:cs="Times New Roman"/>
          <w:b/>
          <w:sz w:val="28"/>
          <w:szCs w:val="20"/>
        </w:rPr>
      </w:pPr>
      <w:bookmarkStart w:id="0" w:name="衍生性商品交易處理程序"/>
      <w:r w:rsidRPr="002C55DA">
        <w:rPr>
          <w:rFonts w:ascii="標楷體" w:eastAsia="標楷體" w:hAnsi="Times New Roman" w:cs="Times New Roman" w:hint="eastAsia"/>
          <w:b/>
          <w:sz w:val="28"/>
          <w:szCs w:val="20"/>
        </w:rPr>
        <w:t>衍生性商品交易處理程序</w:t>
      </w:r>
    </w:p>
    <w:bookmarkEnd w:id="0"/>
    <w:p w:rsidR="002C55DA" w:rsidRPr="002C55DA" w:rsidRDefault="002C55DA" w:rsidP="002C55DA">
      <w:pPr>
        <w:snapToGrid w:val="0"/>
        <w:spacing w:line="0" w:lineRule="atLeast"/>
        <w:ind w:left="964" w:hanging="964"/>
        <w:jc w:val="both"/>
        <w:rPr>
          <w:rFonts w:ascii="標楷體" w:eastAsia="標楷體" w:hAnsi="標楷體" w:cs="Times New Roman"/>
          <w:szCs w:val="20"/>
        </w:rPr>
      </w:pPr>
      <w:r w:rsidRPr="002C55DA">
        <w:rPr>
          <w:rFonts w:ascii="標楷體" w:eastAsia="標楷體" w:hAnsi="標楷體" w:cs="Times New Roman" w:hint="eastAsia"/>
          <w:szCs w:val="20"/>
        </w:rPr>
        <w:t>第 一 條</w:t>
      </w:r>
      <w:r w:rsidRPr="002C55DA">
        <w:rPr>
          <w:rFonts w:ascii="標楷體" w:eastAsia="標楷體" w:hAnsi="標楷體" w:cs="Times New Roman"/>
          <w:szCs w:val="20"/>
        </w:rPr>
        <w:t>：</w:t>
      </w:r>
      <w:r w:rsidRPr="002C55DA">
        <w:rPr>
          <w:rFonts w:ascii="標楷體" w:eastAsia="標楷體" w:hAnsi="標楷體" w:cs="Times New Roman" w:hint="eastAsia"/>
          <w:szCs w:val="20"/>
        </w:rPr>
        <w:t>目的</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本處理程序係依據財政部證券暨期貨管理委員會(以下簡稱證期會)91.12.10</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91</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台財證</w:t>
      </w:r>
      <w:r w:rsidRPr="002C55DA">
        <w:rPr>
          <w:rFonts w:ascii="標楷體" w:eastAsia="標楷體" w:hAnsi="Times New Roman" w:cs="Times New Roman"/>
          <w:szCs w:val="20"/>
        </w:rPr>
        <w:t>(</w:t>
      </w:r>
      <w:proofErr w:type="gramStart"/>
      <w:r w:rsidRPr="002C55DA">
        <w:rPr>
          <w:rFonts w:ascii="標楷體" w:eastAsia="標楷體" w:hAnsi="Times New Roman" w:cs="Times New Roman" w:hint="eastAsia"/>
          <w:szCs w:val="20"/>
        </w:rPr>
        <w:t>一</w:t>
      </w:r>
      <w:proofErr w:type="gramEnd"/>
      <w:r w:rsidRPr="002C55DA">
        <w:rPr>
          <w:rFonts w:ascii="標楷體" w:eastAsia="標楷體" w:hAnsi="Times New Roman" w:cs="Times New Roman"/>
          <w:szCs w:val="20"/>
        </w:rPr>
        <w:t>)</w:t>
      </w:r>
      <w:r w:rsidRPr="002C55DA">
        <w:rPr>
          <w:rFonts w:ascii="標楷體" w:eastAsia="標楷體" w:hAnsi="Times New Roman" w:cs="Times New Roman" w:hint="eastAsia"/>
          <w:szCs w:val="20"/>
        </w:rPr>
        <w:t>第0910006105號函之規定辦理。</w:t>
      </w:r>
    </w:p>
    <w:p w:rsidR="002C55DA" w:rsidRPr="002C55DA" w:rsidRDefault="002C55DA" w:rsidP="002C55DA">
      <w:pPr>
        <w:snapToGrid w:val="0"/>
        <w:spacing w:line="0" w:lineRule="atLeast"/>
        <w:ind w:left="964" w:hanging="964"/>
        <w:jc w:val="both"/>
        <w:rPr>
          <w:rFonts w:ascii="標楷體" w:eastAsia="標楷體" w:hAnsi="標楷體" w:cs="Times New Roman"/>
          <w:szCs w:val="20"/>
        </w:rPr>
      </w:pPr>
      <w:r w:rsidRPr="002C55DA">
        <w:rPr>
          <w:rFonts w:ascii="標楷體" w:eastAsia="標楷體" w:hAnsi="標楷體" w:cs="Times New Roman" w:hint="eastAsia"/>
          <w:szCs w:val="20"/>
        </w:rPr>
        <w:t>第 二 條</w:t>
      </w:r>
      <w:r w:rsidRPr="002C55DA">
        <w:rPr>
          <w:rFonts w:ascii="標楷體" w:eastAsia="標楷體" w:hAnsi="標楷體" w:cs="Times New Roman"/>
          <w:szCs w:val="20"/>
        </w:rPr>
        <w:t>：</w:t>
      </w:r>
      <w:r w:rsidRPr="002C55DA">
        <w:rPr>
          <w:rFonts w:ascii="標楷體" w:eastAsia="標楷體" w:hAnsi="標楷體" w:cs="Times New Roman" w:hint="eastAsia"/>
          <w:szCs w:val="20"/>
        </w:rPr>
        <w:t>交易種類</w:t>
      </w:r>
    </w:p>
    <w:p w:rsidR="002C55DA" w:rsidRPr="002C55DA" w:rsidRDefault="008610D7" w:rsidP="008610D7">
      <w:pPr>
        <w:snapToGrid w:val="0"/>
        <w:spacing w:line="0" w:lineRule="atLeast"/>
        <w:ind w:left="1560" w:hanging="398"/>
        <w:jc w:val="both"/>
        <w:rPr>
          <w:rFonts w:ascii="標楷體" w:eastAsia="標楷體" w:hAnsi="標楷體" w:cs="Times New Roman"/>
          <w:szCs w:val="20"/>
        </w:rPr>
      </w:pPr>
      <w:r w:rsidRPr="008610D7">
        <w:rPr>
          <w:rFonts w:ascii="標楷體" w:eastAsia="標楷體" w:hAnsi="Times New Roman" w:cs="Times New Roman" w:hint="eastAsia"/>
          <w:szCs w:val="20"/>
          <w:u w:val="single"/>
        </w:rPr>
        <w:t>一、</w:t>
      </w:r>
      <w:r w:rsidRPr="00CC195D">
        <w:rPr>
          <w:rFonts w:ascii="標楷體" w:eastAsia="標楷體" w:hAnsi="標楷體" w:hint="eastAsia"/>
          <w:kern w:val="0"/>
        </w:rPr>
        <w:t>本處理程序所稱之衍生性商品，係指其價值由</w:t>
      </w:r>
      <w:r w:rsidRPr="001D7B93">
        <w:rPr>
          <w:rFonts w:ascii="標楷體" w:eastAsia="標楷體" w:hAnsi="標楷體" w:hint="eastAsia"/>
          <w:kern w:val="0"/>
          <w:u w:val="single"/>
        </w:rPr>
        <w:t>特定利率、金融工具價格、商品價格</w:t>
      </w:r>
      <w:r>
        <w:rPr>
          <w:rFonts w:ascii="標楷體" w:eastAsia="標楷體" w:hAnsi="標楷體" w:hint="eastAsia"/>
          <w:kern w:val="0"/>
        </w:rPr>
        <w:t>、</w:t>
      </w:r>
      <w:r w:rsidRPr="001D7B93">
        <w:rPr>
          <w:rFonts w:ascii="標楷體" w:eastAsia="標楷體" w:hAnsi="標楷體" w:hint="eastAsia"/>
          <w:kern w:val="0"/>
        </w:rPr>
        <w:t>匯率</w:t>
      </w:r>
      <w:r>
        <w:rPr>
          <w:rFonts w:ascii="標楷體" w:eastAsia="標楷體" w:hAnsi="標楷體" w:hint="eastAsia"/>
          <w:kern w:val="0"/>
        </w:rPr>
        <w:t>、</w:t>
      </w:r>
      <w:r w:rsidRPr="001D7B93">
        <w:rPr>
          <w:rFonts w:ascii="標楷體" w:eastAsia="標楷體" w:hAnsi="標楷體" w:hint="eastAsia"/>
          <w:kern w:val="0"/>
          <w:u w:val="single"/>
        </w:rPr>
        <w:t>價格或費率</w:t>
      </w:r>
      <w:r w:rsidRPr="001D7B93">
        <w:rPr>
          <w:rFonts w:ascii="標楷體" w:eastAsia="標楷體" w:hAnsi="標楷體" w:hint="eastAsia"/>
          <w:kern w:val="0"/>
        </w:rPr>
        <w:t>指數、</w:t>
      </w:r>
      <w:r w:rsidRPr="001D7B93">
        <w:rPr>
          <w:rFonts w:ascii="標楷體" w:eastAsia="標楷體" w:hAnsi="標楷體" w:hint="eastAsia"/>
          <w:kern w:val="0"/>
          <w:u w:val="single"/>
        </w:rPr>
        <w:t>信用評等或信用指數、或其他變數</w:t>
      </w:r>
      <w:r w:rsidRPr="00CC195D">
        <w:rPr>
          <w:rFonts w:ascii="標楷體" w:eastAsia="標楷體" w:hAnsi="標楷體" w:hint="eastAsia"/>
          <w:kern w:val="0"/>
        </w:rPr>
        <w:t>所衍生之遠期契約、選擇權契約、期貨契約、槓桿保證金契約、交換契約，上述</w:t>
      </w:r>
      <w:r w:rsidRPr="00146664">
        <w:rPr>
          <w:rFonts w:ascii="標楷體" w:eastAsia="標楷體" w:hAnsi="標楷體" w:hint="eastAsia"/>
          <w:kern w:val="0"/>
          <w:u w:val="single"/>
        </w:rPr>
        <w:t>契約之組合，或嵌入衍生性商品之組合式契約或結構型商品等。所稱之遠期契約，不含保險契約、履約契約、售後服務契約、長期租賃契約及長期進（銷）貨契約。</w:t>
      </w:r>
    </w:p>
    <w:p w:rsidR="002C55DA" w:rsidRPr="002C55DA" w:rsidRDefault="008610D7" w:rsidP="008610D7">
      <w:pPr>
        <w:snapToGrid w:val="0"/>
        <w:spacing w:line="0" w:lineRule="atLeast"/>
        <w:ind w:left="1560" w:hanging="398"/>
        <w:jc w:val="both"/>
        <w:rPr>
          <w:rFonts w:ascii="標楷體" w:eastAsia="標楷體" w:hAnsi="Times New Roman" w:cs="Times New Roman"/>
          <w:szCs w:val="20"/>
        </w:rPr>
      </w:pPr>
      <w:r w:rsidRPr="008610D7">
        <w:rPr>
          <w:rFonts w:ascii="標楷體" w:eastAsia="標楷體" w:hAnsi="Times New Roman" w:cs="Times New Roman" w:hint="eastAsia"/>
          <w:szCs w:val="20"/>
          <w:u w:val="single"/>
        </w:rPr>
        <w:t>二、</w:t>
      </w:r>
      <w:r w:rsidR="002C55DA" w:rsidRPr="002C55DA">
        <w:rPr>
          <w:rFonts w:ascii="標楷體" w:eastAsia="標楷體" w:hAnsi="Times New Roman" w:cs="Times New Roman" w:hint="eastAsia"/>
          <w:szCs w:val="20"/>
        </w:rPr>
        <w:t>目前公司從事衍生性商品操作範圍限定以遠期契約為主，如欲從事其他商品之交易應先經董事會核准並修正本處理程序後始得為之</w:t>
      </w:r>
      <w:r w:rsidR="002C55DA" w:rsidRPr="002C55DA">
        <w:rPr>
          <w:rFonts w:ascii="標楷體" w:eastAsia="標楷體" w:hAnsi="Times New Roman" w:cs="Times New Roman"/>
          <w:szCs w:val="20"/>
        </w:rPr>
        <w:t>。</w:t>
      </w:r>
    </w:p>
    <w:p w:rsidR="002C55DA" w:rsidRPr="002C55DA" w:rsidRDefault="002C55DA" w:rsidP="002C55DA">
      <w:pPr>
        <w:snapToGrid w:val="0"/>
        <w:spacing w:line="0" w:lineRule="atLeast"/>
        <w:ind w:left="964" w:hanging="964"/>
        <w:jc w:val="both"/>
        <w:rPr>
          <w:rFonts w:ascii="標楷體" w:eastAsia="標楷體" w:hAnsi="標楷體" w:cs="Times New Roman"/>
          <w:szCs w:val="20"/>
        </w:rPr>
      </w:pPr>
      <w:r w:rsidRPr="002C55DA">
        <w:rPr>
          <w:rFonts w:ascii="標楷體" w:eastAsia="標楷體" w:hAnsi="標楷體" w:cs="Times New Roman" w:hint="eastAsia"/>
          <w:szCs w:val="20"/>
        </w:rPr>
        <w:t>第 三 條</w:t>
      </w:r>
      <w:r w:rsidRPr="002C55DA">
        <w:rPr>
          <w:rFonts w:ascii="標楷體" w:eastAsia="標楷體" w:hAnsi="標楷體" w:cs="Times New Roman"/>
          <w:szCs w:val="20"/>
        </w:rPr>
        <w:t>：</w:t>
      </w:r>
      <w:r w:rsidRPr="002C55DA">
        <w:rPr>
          <w:rFonts w:ascii="標楷體" w:eastAsia="標楷體" w:hAnsi="標楷體" w:cs="Times New Roman" w:hint="eastAsia"/>
          <w:szCs w:val="20"/>
        </w:rPr>
        <w:t>經營及避險策略</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從事衍生性商品交易，應以規避風險為目的，交易商品應選擇使用規避公司業務經營所產生的風險為主，另交易對象亦應</w:t>
      </w:r>
      <w:proofErr w:type="gramStart"/>
      <w:r w:rsidRPr="002C55DA">
        <w:rPr>
          <w:rFonts w:ascii="標楷體" w:eastAsia="標楷體" w:hAnsi="Times New Roman" w:cs="Times New Roman" w:hint="eastAsia"/>
          <w:szCs w:val="20"/>
        </w:rPr>
        <w:t>儘</w:t>
      </w:r>
      <w:proofErr w:type="gramEnd"/>
      <w:r w:rsidRPr="002C55DA">
        <w:rPr>
          <w:rFonts w:ascii="標楷體" w:eastAsia="標楷體" w:hAnsi="Times New Roman" w:cs="Times New Roman" w:hint="eastAsia"/>
          <w:szCs w:val="20"/>
        </w:rPr>
        <w:t>可能選擇平時與公司有業務往來之銀行，以避免產生信用風險</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964" w:hanging="964"/>
        <w:jc w:val="both"/>
        <w:rPr>
          <w:rFonts w:ascii="標楷體" w:eastAsia="標楷體" w:hAnsi="標楷體" w:cs="Times New Roman"/>
          <w:szCs w:val="20"/>
        </w:rPr>
      </w:pPr>
      <w:r w:rsidRPr="002C55DA">
        <w:rPr>
          <w:rFonts w:ascii="標楷體" w:eastAsia="標楷體" w:hAnsi="標楷體" w:cs="Times New Roman" w:hint="eastAsia"/>
          <w:szCs w:val="20"/>
        </w:rPr>
        <w:t>第 四 條</w:t>
      </w:r>
      <w:r w:rsidRPr="002C55DA">
        <w:rPr>
          <w:rFonts w:ascii="標楷體" w:eastAsia="標楷體" w:hAnsi="標楷體" w:cs="Times New Roman"/>
          <w:szCs w:val="20"/>
        </w:rPr>
        <w:t>：</w:t>
      </w:r>
      <w:r w:rsidRPr="002C55DA">
        <w:rPr>
          <w:rFonts w:ascii="標楷體" w:eastAsia="標楷體" w:hAnsi="標楷體" w:cs="Times New Roman" w:hint="eastAsia"/>
          <w:szCs w:val="20"/>
        </w:rPr>
        <w:t>權責劃分</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一、財務部門</w:t>
      </w:r>
    </w:p>
    <w:p w:rsidR="002C55DA" w:rsidRPr="002C55DA" w:rsidRDefault="002C55DA" w:rsidP="002C55DA">
      <w:pPr>
        <w:snapToGrid w:val="0"/>
        <w:spacing w:line="0" w:lineRule="atLeast"/>
        <w:ind w:left="1644" w:hanging="482"/>
        <w:jc w:val="both"/>
        <w:rPr>
          <w:rFonts w:ascii="標楷體" w:eastAsia="標楷體" w:hAnsi="Times New Roman" w:cs="Times New Roman"/>
          <w:szCs w:val="20"/>
        </w:rPr>
      </w:pPr>
      <w:r w:rsidRPr="002C55DA">
        <w:rPr>
          <w:rFonts w:ascii="標楷體" w:eastAsia="標楷體" w:hAnsi="Times New Roman" w:cs="Times New Roman" w:hint="eastAsia"/>
          <w:szCs w:val="20"/>
        </w:rPr>
        <w:t>(</w:t>
      </w:r>
      <w:proofErr w:type="gramStart"/>
      <w:r w:rsidRPr="002C55DA">
        <w:rPr>
          <w:rFonts w:ascii="標楷體" w:eastAsia="標楷體" w:hAnsi="Times New Roman" w:cs="Times New Roman" w:hint="eastAsia"/>
          <w:szCs w:val="20"/>
        </w:rPr>
        <w:t>一</w:t>
      </w:r>
      <w:proofErr w:type="gramEnd"/>
      <w:r w:rsidRPr="002C55DA">
        <w:rPr>
          <w:rFonts w:ascii="標楷體" w:eastAsia="標楷體" w:hAnsi="Times New Roman" w:cs="Times New Roman" w:hint="eastAsia"/>
          <w:szCs w:val="20"/>
        </w:rPr>
        <w:t>)負責整個公司外匯操作之策略擬定</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644" w:hanging="482"/>
        <w:jc w:val="both"/>
        <w:rPr>
          <w:rFonts w:ascii="標楷體" w:eastAsia="標楷體" w:hAnsi="Times New Roman" w:cs="Times New Roman"/>
          <w:szCs w:val="20"/>
        </w:rPr>
      </w:pPr>
      <w:r w:rsidRPr="002C55DA">
        <w:rPr>
          <w:rFonts w:ascii="標楷體" w:eastAsia="標楷體" w:hAnsi="Times New Roman" w:cs="Times New Roman" w:hint="eastAsia"/>
          <w:szCs w:val="20"/>
        </w:rPr>
        <w:t>(二)因應外匯市場變化莫測，財務部門應隨時蒐集相關資訊，判斷趨勢及風險評估，熟悉金融產品及法令規定，再考量公司外匯部位，編製操作策略方案，經由總經理核准後，為規避風險之依據</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644" w:hanging="482"/>
        <w:jc w:val="both"/>
        <w:rPr>
          <w:rFonts w:ascii="標楷體" w:eastAsia="標楷體" w:hAnsi="Times New Roman" w:cs="Times New Roman"/>
          <w:szCs w:val="20"/>
        </w:rPr>
      </w:pPr>
      <w:r w:rsidRPr="002C55DA">
        <w:rPr>
          <w:rFonts w:ascii="標楷體" w:eastAsia="標楷體" w:hAnsi="Times New Roman" w:cs="Times New Roman" w:hint="eastAsia"/>
          <w:szCs w:val="20"/>
        </w:rPr>
        <w:t>(三)按公司本身之營業額</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進出口量，確定外匯部位後，訂立每期(每月或每季)必須避險之底限，以減少外匯部位暴露於風險之程度</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644" w:hanging="482"/>
        <w:jc w:val="both"/>
        <w:rPr>
          <w:rFonts w:ascii="標楷體" w:eastAsia="標楷體" w:hAnsi="Times New Roman" w:cs="Times New Roman"/>
          <w:szCs w:val="20"/>
        </w:rPr>
      </w:pPr>
      <w:r w:rsidRPr="002C55DA">
        <w:rPr>
          <w:rFonts w:ascii="標楷體" w:eastAsia="標楷體" w:hAnsi="Times New Roman" w:cs="Times New Roman" w:hint="eastAsia"/>
          <w:szCs w:val="20"/>
        </w:rPr>
        <w:t>(四)依授權權限，進行各項避險交易</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二、會計部門</w:t>
      </w:r>
    </w:p>
    <w:p w:rsidR="002C55DA" w:rsidRPr="002C55DA" w:rsidRDefault="002C55DA" w:rsidP="002C55DA">
      <w:pPr>
        <w:snapToGrid w:val="0"/>
        <w:spacing w:line="0" w:lineRule="atLeast"/>
        <w:ind w:left="1644"/>
        <w:jc w:val="both"/>
        <w:rPr>
          <w:rFonts w:ascii="標楷體" w:eastAsia="標楷體" w:hAnsi="Times New Roman" w:cs="Times New Roman"/>
          <w:szCs w:val="20"/>
        </w:rPr>
      </w:pPr>
      <w:r w:rsidRPr="002C55DA">
        <w:rPr>
          <w:rFonts w:ascii="標楷體" w:eastAsia="標楷體" w:hAnsi="Times New Roman" w:cs="Times New Roman" w:hint="eastAsia"/>
          <w:szCs w:val="20"/>
        </w:rPr>
        <w:t>準確掌握公司已發生之外匯部位及成本，以提供財務部門為避險依據</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三</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執行單位</w:t>
      </w:r>
    </w:p>
    <w:p w:rsidR="002C55DA" w:rsidRPr="002C55DA" w:rsidRDefault="002C55DA" w:rsidP="002C55DA">
      <w:pPr>
        <w:snapToGrid w:val="0"/>
        <w:spacing w:line="0" w:lineRule="atLeast"/>
        <w:ind w:left="1644"/>
        <w:jc w:val="both"/>
        <w:rPr>
          <w:rFonts w:ascii="標楷體" w:eastAsia="標楷體" w:hAnsi="Times New Roman" w:cs="Times New Roman"/>
          <w:szCs w:val="20"/>
        </w:rPr>
      </w:pPr>
      <w:r w:rsidRPr="002C55DA">
        <w:rPr>
          <w:rFonts w:ascii="標楷體" w:eastAsia="標楷體" w:hAnsi="Times New Roman" w:cs="Times New Roman" w:hint="eastAsia"/>
          <w:szCs w:val="20"/>
        </w:rPr>
        <w:t>由於衍生性商品交易與管理工作必須由高度專業</w:t>
      </w:r>
      <w:bookmarkStart w:id="1" w:name="_GoBack"/>
      <w:bookmarkEnd w:id="1"/>
      <w:r w:rsidRPr="002C55DA">
        <w:rPr>
          <w:rFonts w:ascii="標楷體" w:eastAsia="標楷體" w:hAnsi="Times New Roman" w:cs="Times New Roman" w:hint="eastAsia"/>
          <w:szCs w:val="20"/>
        </w:rPr>
        <w:t>之人員始得為之，因此，由董事長指派專人擔任之</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四</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衍生性</w:t>
      </w:r>
      <w:proofErr w:type="gramStart"/>
      <w:r w:rsidRPr="002C55DA">
        <w:rPr>
          <w:rFonts w:ascii="標楷體" w:eastAsia="標楷體" w:hAnsi="Times New Roman" w:cs="Times New Roman" w:hint="eastAsia"/>
          <w:szCs w:val="20"/>
        </w:rPr>
        <w:t>商品核決權限</w:t>
      </w:r>
      <w:proofErr w:type="gramEnd"/>
    </w:p>
    <w:p w:rsidR="002C55DA" w:rsidRPr="002C55DA" w:rsidRDefault="002C55DA" w:rsidP="002C55DA">
      <w:pPr>
        <w:snapToGrid w:val="0"/>
        <w:spacing w:line="0" w:lineRule="atLeast"/>
        <w:ind w:left="1882" w:hanging="238"/>
        <w:rPr>
          <w:rFonts w:ascii="標楷體" w:eastAsia="標楷體" w:hAnsi="Times New Roman" w:cs="Times New Roman"/>
          <w:szCs w:val="20"/>
        </w:rPr>
      </w:pPr>
      <w:r w:rsidRPr="002C55DA">
        <w:rPr>
          <w:rFonts w:ascii="標楷體" w:eastAsia="標楷體" w:hAnsi="Times New Roman" w:cs="Times New Roman" w:hint="eastAsia"/>
          <w:szCs w:val="20"/>
        </w:rPr>
        <w:t>A.避險性交易</w:t>
      </w:r>
      <w:proofErr w:type="gramStart"/>
      <w:r w:rsidRPr="002C55DA">
        <w:rPr>
          <w:rFonts w:ascii="標楷體" w:eastAsia="標楷體" w:hAnsi="Times New Roman" w:cs="Times New Roman" w:hint="eastAsia"/>
          <w:szCs w:val="20"/>
        </w:rPr>
        <w:t>之核決權限</w:t>
      </w:r>
      <w:proofErr w:type="gramEnd"/>
    </w:p>
    <w:p w:rsidR="002C55DA" w:rsidRPr="002C55DA" w:rsidRDefault="002C55DA" w:rsidP="002C55DA">
      <w:pPr>
        <w:snapToGrid w:val="0"/>
        <w:spacing w:line="0" w:lineRule="atLeast"/>
        <w:ind w:left="1871"/>
        <w:jc w:val="both"/>
        <w:rPr>
          <w:rFonts w:ascii="標楷體" w:eastAsia="標楷體" w:hAnsi="Times New Roman" w:cs="Times New Roman"/>
          <w:szCs w:val="20"/>
        </w:rPr>
      </w:pPr>
      <w:r w:rsidRPr="002C55DA">
        <w:rPr>
          <w:rFonts w:ascii="標楷體" w:eastAsia="標楷體" w:hAnsi="Times New Roman" w:cs="Times New Roman" w:hint="eastAsia"/>
          <w:szCs w:val="20"/>
        </w:rPr>
        <w:t>避險性衍生性商品在新台幣壹仟萬元以內者授權財務部主管逕行處理，逾美金參拾萬元以上應呈董事長核准</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882" w:hanging="238"/>
        <w:jc w:val="both"/>
        <w:rPr>
          <w:rFonts w:ascii="標楷體" w:eastAsia="標楷體" w:hAnsi="Times New Roman" w:cs="Times New Roman"/>
          <w:szCs w:val="20"/>
        </w:rPr>
      </w:pPr>
      <w:r w:rsidRPr="002C55DA">
        <w:rPr>
          <w:rFonts w:ascii="標楷體" w:eastAsia="標楷體" w:hAnsi="Times New Roman" w:cs="Times New Roman" w:hint="eastAsia"/>
          <w:szCs w:val="20"/>
        </w:rPr>
        <w:t>B.非避險性衍生性商品在美金壹萬元以內者授權財務部主管逕行處理，美金壹萬至參萬元以內者授權董事長逕行處理，逾美金參萬元</w:t>
      </w:r>
      <w:proofErr w:type="gramStart"/>
      <w:r w:rsidRPr="002C55DA">
        <w:rPr>
          <w:rFonts w:ascii="標楷體" w:eastAsia="標楷體" w:hAnsi="Times New Roman" w:cs="Times New Roman" w:hint="eastAsia"/>
          <w:szCs w:val="20"/>
        </w:rPr>
        <w:t>以上呈</w:t>
      </w:r>
      <w:proofErr w:type="gramEnd"/>
      <w:r w:rsidRPr="002C55DA">
        <w:rPr>
          <w:rFonts w:ascii="標楷體" w:eastAsia="標楷體" w:hAnsi="Times New Roman" w:cs="Times New Roman" w:hint="eastAsia"/>
          <w:szCs w:val="20"/>
        </w:rPr>
        <w:t>董事會核准方可進行交易</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964" w:hanging="964"/>
        <w:jc w:val="both"/>
        <w:rPr>
          <w:rFonts w:ascii="標楷體" w:eastAsia="標楷體" w:hAnsi="標楷體" w:cs="Times New Roman"/>
          <w:szCs w:val="20"/>
        </w:rPr>
      </w:pPr>
      <w:r w:rsidRPr="002C55DA">
        <w:rPr>
          <w:rFonts w:ascii="標楷體" w:eastAsia="標楷體" w:hAnsi="標楷體" w:cs="Times New Roman" w:hint="eastAsia"/>
          <w:szCs w:val="20"/>
        </w:rPr>
        <w:t>第 五 條</w:t>
      </w:r>
      <w:r w:rsidRPr="002C55DA">
        <w:rPr>
          <w:rFonts w:ascii="標楷體" w:eastAsia="標楷體" w:hAnsi="標楷體" w:cs="Times New Roman"/>
          <w:szCs w:val="20"/>
        </w:rPr>
        <w:t>：</w:t>
      </w:r>
      <w:r w:rsidRPr="002C55DA">
        <w:rPr>
          <w:rFonts w:ascii="標楷體" w:eastAsia="標楷體" w:hAnsi="標楷體" w:cs="Times New Roman" w:hint="eastAsia"/>
          <w:szCs w:val="20"/>
        </w:rPr>
        <w:t>績效評估</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一</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避險性交易</w:t>
      </w:r>
    </w:p>
    <w:p w:rsidR="002C55DA" w:rsidRPr="002C55DA" w:rsidRDefault="002C55DA" w:rsidP="002C55DA">
      <w:pPr>
        <w:snapToGrid w:val="0"/>
        <w:spacing w:line="0" w:lineRule="atLeast"/>
        <w:ind w:left="1644" w:hanging="482"/>
        <w:jc w:val="both"/>
        <w:rPr>
          <w:rFonts w:ascii="標楷體" w:eastAsia="標楷體" w:hAnsi="Times New Roman" w:cs="Times New Roman"/>
          <w:szCs w:val="20"/>
        </w:rPr>
      </w:pPr>
      <w:r w:rsidRPr="002C55DA">
        <w:rPr>
          <w:rFonts w:ascii="標楷體" w:eastAsia="標楷體" w:hAnsi="Times New Roman" w:cs="Times New Roman" w:hint="eastAsia"/>
          <w:szCs w:val="20"/>
        </w:rPr>
        <w:t>(</w:t>
      </w:r>
      <w:proofErr w:type="gramStart"/>
      <w:r w:rsidRPr="002C55DA">
        <w:rPr>
          <w:rFonts w:ascii="標楷體" w:eastAsia="標楷體" w:hAnsi="Times New Roman" w:cs="Times New Roman" w:hint="eastAsia"/>
          <w:szCs w:val="20"/>
        </w:rPr>
        <w:t>一</w:t>
      </w:r>
      <w:proofErr w:type="gramEnd"/>
      <w:r w:rsidRPr="002C55DA">
        <w:rPr>
          <w:rFonts w:ascii="標楷體" w:eastAsia="標楷體" w:hAnsi="Times New Roman" w:cs="Times New Roman" w:hint="eastAsia"/>
          <w:szCs w:val="20"/>
        </w:rPr>
        <w:t>)以公司</w:t>
      </w:r>
      <w:proofErr w:type="gramStart"/>
      <w:r w:rsidRPr="002C55DA">
        <w:rPr>
          <w:rFonts w:ascii="標楷體" w:eastAsia="標楷體" w:hAnsi="Times New Roman" w:cs="Times New Roman" w:hint="eastAsia"/>
          <w:szCs w:val="20"/>
        </w:rPr>
        <w:t>帳面</w:t>
      </w:r>
      <w:proofErr w:type="gramEnd"/>
      <w:r w:rsidRPr="002C55DA">
        <w:rPr>
          <w:rFonts w:ascii="標楷體" w:eastAsia="標楷體" w:hAnsi="Times New Roman" w:cs="Times New Roman" w:hint="eastAsia"/>
          <w:szCs w:val="20"/>
        </w:rPr>
        <w:t>上匯率成本與從事衍生性金融交易之間所產生損益為績效評估基礎</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644" w:hanging="482"/>
        <w:jc w:val="both"/>
        <w:rPr>
          <w:rFonts w:ascii="標楷體" w:eastAsia="標楷體" w:hAnsi="Times New Roman" w:cs="Times New Roman"/>
          <w:szCs w:val="20"/>
        </w:rPr>
      </w:pPr>
      <w:r w:rsidRPr="002C55DA">
        <w:rPr>
          <w:rFonts w:ascii="標楷體" w:eastAsia="標楷體" w:hAnsi="Times New Roman" w:cs="Times New Roman" w:hint="eastAsia"/>
          <w:szCs w:val="20"/>
        </w:rPr>
        <w:lastRenderedPageBreak/>
        <w:t>(二)為充份掌握及表達交易之評價風險，本公司</w:t>
      </w:r>
      <w:proofErr w:type="gramStart"/>
      <w:r w:rsidRPr="002C55DA">
        <w:rPr>
          <w:rFonts w:ascii="標楷體" w:eastAsia="標楷體" w:hAnsi="Times New Roman" w:cs="Times New Roman" w:hint="eastAsia"/>
          <w:szCs w:val="20"/>
        </w:rPr>
        <w:t>採</w:t>
      </w:r>
      <w:proofErr w:type="gramEnd"/>
      <w:r w:rsidRPr="002C55DA">
        <w:rPr>
          <w:rFonts w:ascii="標楷體" w:eastAsia="標楷體" w:hAnsi="Times New Roman" w:cs="Times New Roman" w:hint="eastAsia"/>
          <w:szCs w:val="20"/>
        </w:rPr>
        <w:t>月結評價方式評估損益</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644" w:hanging="482"/>
        <w:jc w:val="both"/>
        <w:rPr>
          <w:rFonts w:ascii="標楷體" w:eastAsia="標楷體" w:hAnsi="Times New Roman" w:cs="Times New Roman"/>
          <w:szCs w:val="20"/>
        </w:rPr>
      </w:pPr>
      <w:r w:rsidRPr="002C55DA">
        <w:rPr>
          <w:rFonts w:ascii="標楷體" w:eastAsia="標楷體" w:hAnsi="Times New Roman" w:cs="Times New Roman" w:hint="eastAsia"/>
          <w:szCs w:val="20"/>
        </w:rPr>
        <w:t>(三)每月財務部門應提供外匯部位評價與外匯市場走勢及分析予總經理作為管理參考與指示</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二</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投資性交易：</w:t>
      </w:r>
    </w:p>
    <w:p w:rsidR="002C55DA" w:rsidRPr="002C55DA" w:rsidRDefault="002C55DA" w:rsidP="002C55DA">
      <w:pPr>
        <w:snapToGrid w:val="0"/>
        <w:spacing w:line="0" w:lineRule="atLeast"/>
        <w:ind w:left="1560"/>
        <w:jc w:val="both"/>
        <w:rPr>
          <w:rFonts w:ascii="標楷體" w:eastAsia="標楷體" w:hAnsi="Times New Roman" w:cs="Times New Roman"/>
          <w:szCs w:val="20"/>
        </w:rPr>
      </w:pPr>
      <w:r w:rsidRPr="002C55DA">
        <w:rPr>
          <w:rFonts w:ascii="標楷體" w:eastAsia="標楷體" w:hAnsi="Times New Roman" w:cs="Times New Roman" w:hint="eastAsia"/>
          <w:szCs w:val="20"/>
        </w:rPr>
        <w:t>以實際所產生損益為績效評估依據，且定期將部位編製報表以提供管理階層參考</w:t>
      </w:r>
      <w:r w:rsidRPr="002C55DA">
        <w:rPr>
          <w:rFonts w:ascii="標楷體" w:eastAsia="標楷體" w:hAnsi="Times New Roman" w:cs="Times New Roman"/>
          <w:szCs w:val="20"/>
        </w:rPr>
        <w:t>。</w:t>
      </w:r>
    </w:p>
    <w:p w:rsidR="002C55DA" w:rsidRPr="002C55DA" w:rsidRDefault="002C55DA" w:rsidP="002C55DA">
      <w:pPr>
        <w:snapToGrid w:val="0"/>
        <w:spacing w:line="0" w:lineRule="atLeast"/>
        <w:jc w:val="both"/>
        <w:rPr>
          <w:rFonts w:ascii="標楷體" w:eastAsia="標楷體" w:hAnsi="Times New Roman" w:cs="Times New Roman"/>
          <w:szCs w:val="20"/>
        </w:rPr>
      </w:pPr>
      <w:r w:rsidRPr="002C55DA">
        <w:rPr>
          <w:rFonts w:ascii="標楷體" w:eastAsia="標楷體" w:hAnsi="標楷體" w:cs="Times New Roman" w:hint="eastAsia"/>
          <w:szCs w:val="20"/>
        </w:rPr>
        <w:t>第 六 條</w:t>
      </w:r>
      <w:r w:rsidRPr="002C55DA">
        <w:rPr>
          <w:rFonts w:ascii="標楷體" w:eastAsia="標楷體" w:hAnsi="標楷體" w:cs="Times New Roman"/>
          <w:szCs w:val="20"/>
        </w:rPr>
        <w:t>：</w:t>
      </w:r>
      <w:r w:rsidRPr="002C55DA">
        <w:rPr>
          <w:rFonts w:ascii="標楷體" w:eastAsia="標楷體" w:hAnsi="Times New Roman" w:cs="Times New Roman" w:hint="eastAsia"/>
          <w:szCs w:val="20"/>
        </w:rPr>
        <w:t>契約總額及損失上限之訂定</w:t>
      </w:r>
    </w:p>
    <w:p w:rsidR="002C55DA" w:rsidRPr="002C55DA" w:rsidRDefault="002C55DA" w:rsidP="002C55DA">
      <w:pPr>
        <w:tabs>
          <w:tab w:val="num" w:pos="2880"/>
        </w:tabs>
        <w:snapToGrid w:val="0"/>
        <w:spacing w:line="0" w:lineRule="atLeast"/>
        <w:ind w:left="1162"/>
        <w:jc w:val="both"/>
        <w:rPr>
          <w:rFonts w:ascii="標楷體" w:eastAsia="標楷體" w:hAnsi="Times New Roman" w:cs="Times New Roman"/>
          <w:szCs w:val="20"/>
        </w:rPr>
      </w:pPr>
      <w:r w:rsidRPr="002C55DA">
        <w:rPr>
          <w:rFonts w:ascii="標楷體" w:eastAsia="標楷體" w:hAnsi="Times New Roman" w:cs="Times New Roman" w:hint="eastAsia"/>
          <w:szCs w:val="20"/>
        </w:rPr>
        <w:t>一</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契約總額</w:t>
      </w:r>
    </w:p>
    <w:p w:rsidR="002C55DA" w:rsidRPr="002C55DA" w:rsidRDefault="002C55DA" w:rsidP="002C55DA">
      <w:pPr>
        <w:snapToGrid w:val="0"/>
        <w:spacing w:line="0" w:lineRule="atLeast"/>
        <w:ind w:left="1644" w:right="-51"/>
        <w:jc w:val="both"/>
        <w:rPr>
          <w:rFonts w:ascii="標楷體" w:eastAsia="標楷體" w:hAnsi="Times New Roman" w:cs="Times New Roman"/>
          <w:szCs w:val="20"/>
        </w:rPr>
      </w:pPr>
      <w:r w:rsidRPr="002C55DA">
        <w:rPr>
          <w:rFonts w:ascii="標楷體" w:eastAsia="標楷體" w:hAnsi="Times New Roman" w:cs="Times New Roman" w:hint="eastAsia"/>
          <w:szCs w:val="20"/>
        </w:rPr>
        <w:t>本公司從事衍生性商品交易之契約總額不得逾新台幣壹仟萬元或實收資本額百分之四</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其中非避險性之交易契約總額則不得逾新台幣壹佰萬元</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162" w:right="-51"/>
        <w:jc w:val="both"/>
        <w:rPr>
          <w:rFonts w:ascii="標楷體" w:eastAsia="標楷體" w:hAnsi="Times New Roman" w:cs="Times New Roman"/>
          <w:szCs w:val="20"/>
        </w:rPr>
      </w:pPr>
      <w:r w:rsidRPr="002C55DA">
        <w:rPr>
          <w:rFonts w:ascii="標楷體" w:eastAsia="標楷體" w:hAnsi="Times New Roman" w:cs="Times New Roman" w:hint="eastAsia"/>
          <w:szCs w:val="20"/>
        </w:rPr>
        <w:t>二</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損失上限之訂定</w:t>
      </w:r>
    </w:p>
    <w:p w:rsidR="002C55DA" w:rsidRPr="00E6392D" w:rsidRDefault="002C55DA" w:rsidP="002C55DA">
      <w:pPr>
        <w:snapToGrid w:val="0"/>
        <w:spacing w:line="0" w:lineRule="atLeast"/>
        <w:ind w:left="1627" w:hanging="238"/>
        <w:jc w:val="both"/>
        <w:rPr>
          <w:rFonts w:ascii="標楷體" w:eastAsia="標楷體" w:hAnsi="Times New Roman" w:cs="Times New Roman"/>
          <w:szCs w:val="20"/>
        </w:rPr>
      </w:pPr>
      <w:r w:rsidRPr="002C55DA">
        <w:rPr>
          <w:rFonts w:ascii="標楷體" w:eastAsia="標楷體" w:hAnsi="Times New Roman" w:cs="Times New Roman" w:hint="eastAsia"/>
          <w:color w:val="0000CC"/>
          <w:szCs w:val="20"/>
        </w:rPr>
        <w:t xml:space="preserve">  </w:t>
      </w:r>
      <w:r w:rsidRPr="00E6392D">
        <w:rPr>
          <w:rFonts w:ascii="標楷體" w:eastAsia="標楷體" w:hAnsi="Times New Roman" w:cs="Times New Roman" w:hint="eastAsia"/>
          <w:szCs w:val="20"/>
        </w:rPr>
        <w:t>由董事長授權</w:t>
      </w:r>
      <w:proofErr w:type="gramStart"/>
      <w:r w:rsidRPr="00E6392D">
        <w:rPr>
          <w:rFonts w:ascii="標楷體" w:eastAsia="標楷體" w:hAnsi="Times New Roman" w:cs="Times New Roman" w:hint="eastAsia"/>
          <w:szCs w:val="20"/>
        </w:rPr>
        <w:t>財務部於授權</w:t>
      </w:r>
      <w:proofErr w:type="gramEnd"/>
      <w:r w:rsidRPr="00E6392D">
        <w:rPr>
          <w:rFonts w:ascii="標楷體" w:eastAsia="標楷體" w:hAnsi="Times New Roman" w:cs="Times New Roman" w:hint="eastAsia"/>
          <w:szCs w:val="20"/>
        </w:rPr>
        <w:t>額度內進行交易，部位建立之後，應設立停損點以防止超額損失，避險性交易之停損點設定以不超過交易契約金額之百分之五為上限；非避險性交易之停損點設定以不超過交易契約金額之百分之十為上限</w:t>
      </w:r>
      <w:r w:rsidRPr="00E6392D">
        <w:rPr>
          <w:rFonts w:ascii="標楷體" w:eastAsia="標楷體" w:hAnsi="Times New Roman" w:cs="Times New Roman"/>
          <w:szCs w:val="20"/>
        </w:rPr>
        <w:t>。</w:t>
      </w:r>
    </w:p>
    <w:p w:rsidR="002C55DA" w:rsidRPr="002C55DA" w:rsidRDefault="002C55DA" w:rsidP="002C55DA">
      <w:pPr>
        <w:snapToGrid w:val="0"/>
        <w:spacing w:line="0" w:lineRule="atLeast"/>
        <w:ind w:left="1202" w:hanging="1202"/>
        <w:jc w:val="both"/>
        <w:rPr>
          <w:rFonts w:ascii="標楷體" w:eastAsia="標楷體" w:hAnsi="標楷體" w:cs="Times New Roman"/>
          <w:szCs w:val="20"/>
        </w:rPr>
      </w:pPr>
      <w:r w:rsidRPr="002C55DA">
        <w:rPr>
          <w:rFonts w:ascii="標楷體" w:eastAsia="標楷體" w:hAnsi="標楷體" w:cs="Times New Roman" w:hint="eastAsia"/>
          <w:szCs w:val="20"/>
        </w:rPr>
        <w:t>第 七 條</w:t>
      </w:r>
      <w:r w:rsidRPr="002C55DA">
        <w:rPr>
          <w:rFonts w:ascii="標楷體" w:eastAsia="標楷體" w:hAnsi="標楷體" w:cs="Times New Roman"/>
          <w:szCs w:val="20"/>
        </w:rPr>
        <w:t>：</w:t>
      </w:r>
      <w:r w:rsidRPr="002C55DA">
        <w:rPr>
          <w:rFonts w:ascii="標楷體" w:eastAsia="標楷體" w:hAnsi="標楷體" w:cs="Times New Roman" w:hint="eastAsia"/>
          <w:szCs w:val="20"/>
        </w:rPr>
        <w:t>風險管理措施</w:t>
      </w:r>
    </w:p>
    <w:p w:rsidR="002C55DA" w:rsidRPr="002C55DA" w:rsidRDefault="002C55DA" w:rsidP="002C55DA">
      <w:pPr>
        <w:numPr>
          <w:ilvl w:val="0"/>
          <w:numId w:val="1"/>
        </w:numPr>
        <w:tabs>
          <w:tab w:val="num" w:pos="1680"/>
        </w:tabs>
        <w:snapToGrid w:val="0"/>
        <w:spacing w:line="0" w:lineRule="atLeast"/>
        <w:ind w:left="1680" w:right="-51" w:hanging="518"/>
        <w:jc w:val="both"/>
        <w:rPr>
          <w:rFonts w:ascii="標楷體" w:eastAsia="標楷體" w:hAnsi="Times New Roman" w:cs="Times New Roman"/>
          <w:szCs w:val="20"/>
        </w:rPr>
      </w:pPr>
      <w:r w:rsidRPr="002C55DA">
        <w:rPr>
          <w:rFonts w:ascii="標楷體" w:eastAsia="標楷體" w:hAnsi="Times New Roman" w:cs="Times New Roman" w:hint="eastAsia"/>
          <w:szCs w:val="20"/>
        </w:rPr>
        <w:t>信用風險管理</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kern w:val="0"/>
          <w:szCs w:val="20"/>
        </w:rPr>
      </w:pPr>
      <w:r w:rsidRPr="002C55DA">
        <w:rPr>
          <w:rFonts w:ascii="標楷體" w:eastAsia="標楷體" w:hAnsi="Times New Roman" w:cs="Times New Roman" w:hint="eastAsia"/>
          <w:kern w:val="0"/>
          <w:szCs w:val="20"/>
        </w:rPr>
        <w:t>基於市場受各項因素變動，易造成衍生性金融商品之操作風險，故在市場風險管理，依下列原則進行:</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kern w:val="0"/>
          <w:szCs w:val="20"/>
        </w:rPr>
      </w:pPr>
      <w:r w:rsidRPr="002C55DA">
        <w:rPr>
          <w:rFonts w:ascii="標楷體" w:eastAsia="標楷體" w:hAnsi="Times New Roman" w:cs="Times New Roman" w:hint="eastAsia"/>
          <w:kern w:val="0"/>
          <w:szCs w:val="20"/>
        </w:rPr>
        <w:t>交易對象：以與公司往來聲譽良好並能提供專業資訊之金融機構及期貨經紀商為原則</w:t>
      </w:r>
      <w:r w:rsidRPr="002C55DA">
        <w:rPr>
          <w:rFonts w:ascii="標楷體" w:eastAsia="標楷體" w:hAnsi="Times New Roman" w:cs="Times New Roman"/>
          <w:kern w:val="0"/>
          <w:szCs w:val="20"/>
        </w:rPr>
        <w:t>。</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kern w:val="0"/>
          <w:szCs w:val="20"/>
        </w:rPr>
      </w:pPr>
      <w:r w:rsidRPr="002C55DA">
        <w:rPr>
          <w:rFonts w:ascii="標楷體" w:eastAsia="標楷體" w:hAnsi="Times New Roman" w:cs="Times New Roman" w:hint="eastAsia"/>
          <w:kern w:val="0"/>
          <w:szCs w:val="20"/>
        </w:rPr>
        <w:t>交易商品：以國內外著名金融機構提供之商品為限。</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szCs w:val="20"/>
        </w:rPr>
      </w:pPr>
      <w:r w:rsidRPr="002C55DA">
        <w:rPr>
          <w:rFonts w:ascii="標楷體" w:eastAsia="標楷體" w:hAnsi="Times New Roman" w:cs="Times New Roman" w:hint="eastAsia"/>
          <w:kern w:val="0"/>
          <w:szCs w:val="20"/>
        </w:rPr>
        <w:t>交易金額：同一交易對象之未沖銷交易金額，以不超過授權總額</w:t>
      </w:r>
      <w:r w:rsidRPr="002C55DA">
        <w:rPr>
          <w:rFonts w:ascii="標楷體" w:eastAsia="標楷體" w:hAnsi="Times New Roman" w:cs="Times New Roman" w:hint="eastAsia"/>
          <w:szCs w:val="20"/>
        </w:rPr>
        <w:t>百分之十為限，但總經理核准者則不在此限。</w:t>
      </w:r>
    </w:p>
    <w:p w:rsidR="002C55DA" w:rsidRPr="002C55DA" w:rsidRDefault="002C55DA" w:rsidP="002C55DA">
      <w:pPr>
        <w:numPr>
          <w:ilvl w:val="0"/>
          <w:numId w:val="1"/>
        </w:numPr>
        <w:snapToGrid w:val="0"/>
        <w:spacing w:line="0" w:lineRule="atLeast"/>
        <w:ind w:left="1652" w:right="-51" w:hanging="490"/>
        <w:jc w:val="both"/>
        <w:rPr>
          <w:rFonts w:ascii="標楷體" w:eastAsia="標楷體" w:hAnsi="Times New Roman" w:cs="Times New Roman"/>
          <w:szCs w:val="20"/>
        </w:rPr>
      </w:pPr>
      <w:r w:rsidRPr="002C55DA">
        <w:rPr>
          <w:rFonts w:ascii="標楷體" w:eastAsia="標楷體" w:hAnsi="Times New Roman" w:cs="Times New Roman" w:hint="eastAsia"/>
          <w:szCs w:val="20"/>
        </w:rPr>
        <w:t>市場風險管理</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kern w:val="0"/>
          <w:szCs w:val="20"/>
        </w:rPr>
      </w:pPr>
      <w:r w:rsidRPr="002C55DA">
        <w:rPr>
          <w:rFonts w:ascii="標楷體" w:eastAsia="標楷體" w:hAnsi="Times New Roman" w:cs="Times New Roman" w:hint="eastAsia"/>
          <w:kern w:val="0"/>
          <w:szCs w:val="20"/>
        </w:rPr>
        <w:t>衍生性商品未來市場價格波動所可能產生之損失不定，因此，部位建立後應嚴守停損點之設定</w:t>
      </w:r>
      <w:r w:rsidRPr="002C55DA">
        <w:rPr>
          <w:rFonts w:ascii="標楷體" w:eastAsia="標楷體" w:hAnsi="Times New Roman" w:cs="Times New Roman"/>
          <w:kern w:val="0"/>
          <w:szCs w:val="20"/>
        </w:rPr>
        <w:t>。</w:t>
      </w:r>
    </w:p>
    <w:p w:rsidR="002C55DA" w:rsidRPr="002C55DA" w:rsidRDefault="002C55DA" w:rsidP="002C55DA">
      <w:pPr>
        <w:numPr>
          <w:ilvl w:val="0"/>
          <w:numId w:val="1"/>
        </w:numPr>
        <w:tabs>
          <w:tab w:val="num" w:pos="1680"/>
        </w:tabs>
        <w:snapToGrid w:val="0"/>
        <w:spacing w:line="0" w:lineRule="atLeast"/>
        <w:ind w:left="1680" w:right="-51" w:hanging="518"/>
        <w:jc w:val="both"/>
        <w:rPr>
          <w:rFonts w:ascii="標楷體" w:eastAsia="標楷體" w:hAnsi="Times New Roman" w:cs="Times New Roman"/>
          <w:szCs w:val="20"/>
        </w:rPr>
      </w:pPr>
      <w:r w:rsidRPr="002C55DA">
        <w:rPr>
          <w:rFonts w:ascii="標楷體" w:eastAsia="標楷體" w:hAnsi="Times New Roman" w:cs="Times New Roman" w:hint="eastAsia"/>
          <w:szCs w:val="20"/>
        </w:rPr>
        <w:t>流動性風險管理</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kern w:val="0"/>
          <w:szCs w:val="20"/>
        </w:rPr>
      </w:pPr>
      <w:r w:rsidRPr="002C55DA">
        <w:rPr>
          <w:rFonts w:ascii="標楷體" w:eastAsia="標楷體" w:hAnsi="Times New Roman" w:cs="Times New Roman" w:hint="eastAsia"/>
          <w:kern w:val="0"/>
          <w:szCs w:val="20"/>
        </w:rPr>
        <w:t>為確保市場流動性，在選擇金融產品時以流動性較高(即隨時可在市場上軋平)為主，受託交易的金融機構必須有充足的資訊及隨時可在任何市場進行交易的能力。</w:t>
      </w:r>
    </w:p>
    <w:p w:rsidR="002C55DA" w:rsidRPr="002C55DA" w:rsidRDefault="002C55DA" w:rsidP="002C55DA">
      <w:pPr>
        <w:numPr>
          <w:ilvl w:val="0"/>
          <w:numId w:val="1"/>
        </w:numPr>
        <w:tabs>
          <w:tab w:val="num" w:pos="1680"/>
        </w:tabs>
        <w:snapToGrid w:val="0"/>
        <w:spacing w:line="0" w:lineRule="atLeast"/>
        <w:ind w:left="1680" w:right="-51" w:hanging="518"/>
        <w:jc w:val="both"/>
        <w:rPr>
          <w:rFonts w:ascii="標楷體" w:eastAsia="標楷體" w:hAnsi="Times New Roman" w:cs="Times New Roman"/>
          <w:szCs w:val="20"/>
        </w:rPr>
      </w:pPr>
      <w:r w:rsidRPr="002C55DA">
        <w:rPr>
          <w:rFonts w:ascii="標楷體" w:eastAsia="標楷體" w:hAnsi="Times New Roman" w:cs="Times New Roman" w:hint="eastAsia"/>
          <w:szCs w:val="20"/>
        </w:rPr>
        <w:t>現金流量風險管理</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kern w:val="0"/>
          <w:szCs w:val="20"/>
        </w:rPr>
      </w:pPr>
      <w:r w:rsidRPr="002C55DA">
        <w:rPr>
          <w:rFonts w:ascii="標楷體" w:eastAsia="標楷體" w:hAnsi="Times New Roman" w:cs="Times New Roman" w:hint="eastAsia"/>
          <w:kern w:val="0"/>
          <w:szCs w:val="20"/>
        </w:rPr>
        <w:t>為確保公司營運資金週轉穩定性，本公司從事衍生性商品交易之資金來源以自有資金為限，且其操作金額應考量未來三個月現金收支預測之資金需求。</w:t>
      </w:r>
    </w:p>
    <w:p w:rsidR="002C55DA" w:rsidRPr="002C55DA" w:rsidRDefault="002C55DA" w:rsidP="002C55DA">
      <w:pPr>
        <w:numPr>
          <w:ilvl w:val="0"/>
          <w:numId w:val="1"/>
        </w:numPr>
        <w:tabs>
          <w:tab w:val="num" w:pos="1680"/>
        </w:tabs>
        <w:snapToGrid w:val="0"/>
        <w:spacing w:line="0" w:lineRule="atLeast"/>
        <w:ind w:left="1680" w:right="-51" w:hanging="518"/>
        <w:jc w:val="both"/>
        <w:rPr>
          <w:rFonts w:ascii="標楷體" w:eastAsia="標楷體" w:hAnsi="Times New Roman" w:cs="Times New Roman"/>
          <w:szCs w:val="20"/>
        </w:rPr>
      </w:pPr>
      <w:r w:rsidRPr="002C55DA">
        <w:rPr>
          <w:rFonts w:ascii="標楷體" w:eastAsia="標楷體" w:hAnsi="Times New Roman" w:cs="Times New Roman" w:hint="eastAsia"/>
          <w:szCs w:val="20"/>
        </w:rPr>
        <w:t>作業風險管理</w:t>
      </w:r>
    </w:p>
    <w:p w:rsidR="002C55DA" w:rsidRPr="002C55DA" w:rsidRDefault="002C55DA" w:rsidP="002C55DA">
      <w:pPr>
        <w:tabs>
          <w:tab w:val="num" w:pos="1200"/>
        </w:tabs>
        <w:snapToGrid w:val="0"/>
        <w:spacing w:line="0" w:lineRule="atLeast"/>
        <w:ind w:left="1882" w:hanging="238"/>
        <w:jc w:val="both"/>
        <w:rPr>
          <w:rFonts w:ascii="標楷體" w:eastAsia="標楷體" w:hAnsi="Times New Roman" w:cs="Times New Roman"/>
          <w:szCs w:val="20"/>
        </w:rPr>
      </w:pPr>
      <w:r w:rsidRPr="002C55DA">
        <w:rPr>
          <w:rFonts w:ascii="標楷體" w:eastAsia="標楷體" w:hAnsi="Times New Roman" w:cs="Times New Roman" w:hint="eastAsia"/>
          <w:szCs w:val="20"/>
        </w:rPr>
        <w:t>1.應確實遵循公司授權額度、作業流程及納入內部稽核，以避免作業風險</w:t>
      </w:r>
      <w:r w:rsidRPr="002C55DA">
        <w:rPr>
          <w:rFonts w:ascii="標楷體" w:eastAsia="標楷體" w:hAnsi="Times New Roman" w:cs="Times New Roman"/>
          <w:szCs w:val="20"/>
        </w:rPr>
        <w:t>。</w:t>
      </w:r>
    </w:p>
    <w:p w:rsidR="002C55DA" w:rsidRPr="002C55DA" w:rsidRDefault="002C55DA" w:rsidP="002C55DA">
      <w:pPr>
        <w:tabs>
          <w:tab w:val="num" w:pos="1200"/>
        </w:tabs>
        <w:snapToGrid w:val="0"/>
        <w:spacing w:line="0" w:lineRule="atLeast"/>
        <w:ind w:left="1882" w:hanging="238"/>
        <w:jc w:val="both"/>
        <w:rPr>
          <w:rFonts w:ascii="標楷體" w:eastAsia="標楷體" w:hAnsi="Times New Roman" w:cs="Times New Roman"/>
          <w:szCs w:val="20"/>
        </w:rPr>
      </w:pPr>
      <w:r w:rsidRPr="002C55DA">
        <w:rPr>
          <w:rFonts w:ascii="標楷體" w:eastAsia="標楷體" w:hAnsi="Times New Roman" w:cs="Times New Roman" w:hint="eastAsia"/>
          <w:szCs w:val="20"/>
        </w:rPr>
        <w:t>2.從事衍生性商品之交易人員及確認、交割等作業人員不得互相兼任</w:t>
      </w:r>
      <w:r w:rsidRPr="002C55DA">
        <w:rPr>
          <w:rFonts w:ascii="標楷體" w:eastAsia="標楷體" w:hAnsi="Times New Roman" w:cs="Times New Roman"/>
          <w:szCs w:val="20"/>
        </w:rPr>
        <w:t>。</w:t>
      </w:r>
    </w:p>
    <w:p w:rsidR="002C55DA" w:rsidRPr="002C55DA" w:rsidRDefault="002C55DA" w:rsidP="002C55DA">
      <w:pPr>
        <w:tabs>
          <w:tab w:val="num" w:pos="1200"/>
        </w:tabs>
        <w:snapToGrid w:val="0"/>
        <w:spacing w:line="0" w:lineRule="atLeast"/>
        <w:ind w:left="1882" w:hanging="238"/>
        <w:jc w:val="both"/>
        <w:rPr>
          <w:rFonts w:ascii="標楷體" w:eastAsia="標楷體" w:hAnsi="Times New Roman" w:cs="Times New Roman"/>
          <w:szCs w:val="20"/>
        </w:rPr>
      </w:pPr>
      <w:r w:rsidRPr="002C55DA">
        <w:rPr>
          <w:rFonts w:ascii="標楷體" w:eastAsia="標楷體" w:hAnsi="Times New Roman" w:cs="Times New Roman" w:hint="eastAsia"/>
          <w:szCs w:val="20"/>
        </w:rPr>
        <w:t>3.風險之衡量、監督與控制人員應與前款人員分屬不同部門，並應向董事會或向不負交易或部位決策責任之高階主管人員報告。</w:t>
      </w:r>
    </w:p>
    <w:p w:rsidR="002C55DA" w:rsidRPr="002C55DA" w:rsidRDefault="002C55DA" w:rsidP="002C55DA">
      <w:pPr>
        <w:tabs>
          <w:tab w:val="num" w:pos="1200"/>
        </w:tabs>
        <w:snapToGrid w:val="0"/>
        <w:spacing w:line="0" w:lineRule="atLeast"/>
        <w:ind w:left="1882" w:hanging="238"/>
        <w:jc w:val="both"/>
        <w:rPr>
          <w:rFonts w:ascii="標楷體" w:eastAsia="標楷體" w:hAnsi="Times New Roman" w:cs="Times New Roman"/>
          <w:szCs w:val="20"/>
        </w:rPr>
      </w:pPr>
      <w:r w:rsidRPr="002C55DA">
        <w:rPr>
          <w:rFonts w:ascii="標楷體" w:eastAsia="標楷體" w:hAnsi="Times New Roman" w:cs="Times New Roman" w:hint="eastAsia"/>
          <w:szCs w:val="20"/>
        </w:rPr>
        <w:t>4.衍生性商品交易所持有之部位至少每週應評估一次，惟若為業務需要辦理之避險性交易至少每月應評估二次，其評估報告應送董事會授權之高階主管人員。</w:t>
      </w:r>
    </w:p>
    <w:p w:rsidR="002C55DA" w:rsidRPr="002C55DA" w:rsidRDefault="002C55DA" w:rsidP="002C55DA">
      <w:pPr>
        <w:numPr>
          <w:ilvl w:val="0"/>
          <w:numId w:val="1"/>
        </w:numPr>
        <w:tabs>
          <w:tab w:val="num" w:pos="1680"/>
        </w:tabs>
        <w:snapToGrid w:val="0"/>
        <w:spacing w:line="0" w:lineRule="atLeast"/>
        <w:ind w:left="1680" w:hanging="518"/>
        <w:jc w:val="both"/>
        <w:rPr>
          <w:rFonts w:ascii="標楷體" w:eastAsia="標楷體" w:hAnsi="Times New Roman" w:cs="Times New Roman"/>
          <w:szCs w:val="20"/>
        </w:rPr>
      </w:pPr>
      <w:r w:rsidRPr="002C55DA">
        <w:rPr>
          <w:rFonts w:ascii="標楷體" w:eastAsia="標楷體" w:hAnsi="Times New Roman" w:cs="Times New Roman" w:hint="eastAsia"/>
          <w:szCs w:val="20"/>
        </w:rPr>
        <w:t>商品風險管理</w:t>
      </w:r>
    </w:p>
    <w:p w:rsidR="002C55DA" w:rsidRPr="002C55DA" w:rsidRDefault="002C55DA" w:rsidP="002C55DA">
      <w:pPr>
        <w:adjustRightInd w:val="0"/>
        <w:snapToGrid w:val="0"/>
        <w:spacing w:line="0" w:lineRule="atLeast"/>
        <w:ind w:left="1644"/>
        <w:jc w:val="both"/>
        <w:textAlignment w:val="baseline"/>
        <w:rPr>
          <w:rFonts w:ascii="標楷體" w:eastAsia="標楷體" w:hAnsi="Times New Roman" w:cs="Times New Roman"/>
          <w:kern w:val="0"/>
          <w:szCs w:val="20"/>
        </w:rPr>
      </w:pPr>
      <w:r w:rsidRPr="002C55DA">
        <w:rPr>
          <w:rFonts w:ascii="標楷體" w:eastAsia="標楷體" w:hAnsi="Times New Roman" w:cs="Times New Roman" w:hint="eastAsia"/>
          <w:kern w:val="0"/>
          <w:szCs w:val="20"/>
        </w:rPr>
        <w:t>內部交易人員對金融商品應俱備完整及正確之專業知識，並要求銀行充分揭露風險，以避免誤用金融商品風險。</w:t>
      </w:r>
    </w:p>
    <w:p w:rsidR="002C55DA" w:rsidRPr="002C55DA" w:rsidRDefault="002C55DA" w:rsidP="002C55DA">
      <w:pPr>
        <w:numPr>
          <w:ilvl w:val="0"/>
          <w:numId w:val="1"/>
        </w:numPr>
        <w:tabs>
          <w:tab w:val="num" w:pos="1680"/>
        </w:tabs>
        <w:snapToGrid w:val="0"/>
        <w:spacing w:line="0" w:lineRule="atLeast"/>
        <w:ind w:left="1680" w:right="-51" w:hanging="518"/>
        <w:jc w:val="both"/>
        <w:rPr>
          <w:rFonts w:ascii="標楷體" w:eastAsia="標楷體" w:hAnsi="Times New Roman" w:cs="Times New Roman"/>
          <w:szCs w:val="20"/>
        </w:rPr>
      </w:pPr>
      <w:r w:rsidRPr="002C55DA">
        <w:rPr>
          <w:rFonts w:ascii="標楷體" w:eastAsia="標楷體" w:hAnsi="Times New Roman" w:cs="Times New Roman" w:hint="eastAsia"/>
          <w:szCs w:val="20"/>
        </w:rPr>
        <w:lastRenderedPageBreak/>
        <w:t>法律風險管理:</w:t>
      </w:r>
    </w:p>
    <w:p w:rsidR="002C55DA" w:rsidRPr="002C55DA" w:rsidRDefault="002C55DA" w:rsidP="002C55DA">
      <w:pPr>
        <w:snapToGrid w:val="0"/>
        <w:spacing w:line="0" w:lineRule="atLeast"/>
        <w:ind w:left="1644"/>
        <w:jc w:val="both"/>
        <w:rPr>
          <w:rFonts w:ascii="標楷體" w:eastAsia="標楷體" w:hAnsi="Times New Roman" w:cs="Times New Roman"/>
          <w:szCs w:val="20"/>
        </w:rPr>
      </w:pPr>
      <w:r w:rsidRPr="002C55DA">
        <w:rPr>
          <w:rFonts w:ascii="標楷體" w:eastAsia="標楷體" w:hAnsi="Times New Roman" w:cs="Times New Roman" w:hint="eastAsia"/>
          <w:szCs w:val="20"/>
        </w:rPr>
        <w:t>任何和金融機構簽署的契約文件，</w:t>
      </w:r>
      <w:proofErr w:type="gramStart"/>
      <w:r w:rsidRPr="002C55DA">
        <w:rPr>
          <w:rFonts w:ascii="標楷體" w:eastAsia="標楷體" w:hAnsi="Times New Roman" w:cs="Times New Roman" w:hint="eastAsia"/>
          <w:szCs w:val="20"/>
        </w:rPr>
        <w:t>儘</w:t>
      </w:r>
      <w:proofErr w:type="gramEnd"/>
      <w:r w:rsidRPr="002C55DA">
        <w:rPr>
          <w:rFonts w:ascii="標楷體" w:eastAsia="標楷體" w:hAnsi="Times New Roman" w:cs="Times New Roman" w:hint="eastAsia"/>
          <w:szCs w:val="20"/>
        </w:rPr>
        <w:t>可能使用國際標準化文件，以避免法律上的風險</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202" w:hanging="1202"/>
        <w:jc w:val="both"/>
        <w:rPr>
          <w:rFonts w:ascii="標楷體" w:eastAsia="標楷體" w:hAnsi="標楷體" w:cs="Times New Roman"/>
          <w:szCs w:val="20"/>
        </w:rPr>
      </w:pPr>
      <w:r w:rsidRPr="002C55DA">
        <w:rPr>
          <w:rFonts w:ascii="標楷體" w:eastAsia="標楷體" w:hAnsi="標楷體" w:cs="Times New Roman" w:hint="eastAsia"/>
          <w:szCs w:val="20"/>
        </w:rPr>
        <w:t>第 八 條</w:t>
      </w:r>
      <w:r w:rsidRPr="002C55DA">
        <w:rPr>
          <w:rFonts w:ascii="標楷體" w:eastAsia="標楷體" w:hAnsi="標楷體" w:cs="Times New Roman"/>
          <w:szCs w:val="20"/>
        </w:rPr>
        <w:t>：</w:t>
      </w:r>
      <w:r w:rsidRPr="002C55DA">
        <w:rPr>
          <w:rFonts w:ascii="標楷體" w:eastAsia="標楷體" w:hAnsi="標楷體" w:cs="Times New Roman" w:hint="eastAsia"/>
          <w:szCs w:val="20"/>
        </w:rPr>
        <w:t>內部稽核制度</w:t>
      </w:r>
    </w:p>
    <w:p w:rsidR="002C55DA" w:rsidRDefault="002C55DA" w:rsidP="008610D7">
      <w:pPr>
        <w:pStyle w:val="a7"/>
        <w:numPr>
          <w:ilvl w:val="0"/>
          <w:numId w:val="2"/>
        </w:numPr>
        <w:tabs>
          <w:tab w:val="clear" w:pos="482"/>
          <w:tab w:val="num" w:pos="1560"/>
          <w:tab w:val="num" w:pos="1701"/>
        </w:tabs>
        <w:snapToGrid w:val="0"/>
        <w:spacing w:line="0" w:lineRule="atLeast"/>
        <w:ind w:leftChars="0" w:left="1560" w:right="-51" w:hanging="426"/>
        <w:jc w:val="both"/>
        <w:rPr>
          <w:rFonts w:ascii="標楷體" w:eastAsia="標楷體" w:hAnsi="Times New Roman" w:cs="Times New Roman" w:hint="eastAsia"/>
          <w:szCs w:val="20"/>
        </w:rPr>
      </w:pPr>
      <w:r w:rsidRPr="008610D7">
        <w:rPr>
          <w:rFonts w:ascii="標楷體" w:eastAsia="標楷體" w:hAnsi="Times New Roman" w:cs="Times New Roman" w:hint="eastAsia"/>
          <w:szCs w:val="20"/>
        </w:rPr>
        <w:t>內部稽核人員應定期瞭解衍生性商品交易內部控制之允當性，並按月查核交易部門對從事衍生性商品交易處理程序之遵守情形並分析交易循環，作成稽核報告，如發現重大違規情事，應以書面通知監察人。</w:t>
      </w:r>
    </w:p>
    <w:p w:rsidR="008610D7" w:rsidRPr="008610D7" w:rsidRDefault="008610D7" w:rsidP="008610D7">
      <w:pPr>
        <w:pStyle w:val="a7"/>
        <w:tabs>
          <w:tab w:val="num" w:pos="1701"/>
        </w:tabs>
        <w:snapToGrid w:val="0"/>
        <w:spacing w:line="0" w:lineRule="atLeast"/>
        <w:ind w:leftChars="650" w:left="1560" w:right="-51"/>
        <w:jc w:val="both"/>
        <w:rPr>
          <w:rFonts w:ascii="標楷體" w:eastAsia="標楷體" w:hAnsi="Times New Roman" w:cs="Times New Roman" w:hint="eastAsia"/>
          <w:szCs w:val="20"/>
          <w:u w:val="single"/>
        </w:rPr>
      </w:pPr>
      <w:r w:rsidRPr="008610D7">
        <w:rPr>
          <w:rFonts w:ascii="標楷體" w:eastAsia="標楷體" w:hAnsi="Times New Roman" w:cs="Times New Roman" w:hint="eastAsia"/>
          <w:szCs w:val="20"/>
          <w:u w:val="single"/>
        </w:rPr>
        <w:t>已依規定設置獨立董事者，於依前項通知各監察人事項，應一併書面通知獨立董事之。</w:t>
      </w:r>
    </w:p>
    <w:p w:rsidR="008610D7" w:rsidRPr="008610D7" w:rsidRDefault="008610D7" w:rsidP="008610D7">
      <w:pPr>
        <w:pStyle w:val="a7"/>
        <w:tabs>
          <w:tab w:val="num" w:pos="1701"/>
        </w:tabs>
        <w:snapToGrid w:val="0"/>
        <w:spacing w:line="0" w:lineRule="atLeast"/>
        <w:ind w:leftChars="0" w:left="1560" w:right="-51"/>
        <w:jc w:val="both"/>
        <w:rPr>
          <w:rFonts w:ascii="標楷體" w:eastAsia="標楷體" w:hAnsi="Times New Roman" w:cs="Times New Roman"/>
          <w:szCs w:val="20"/>
          <w:u w:val="single"/>
        </w:rPr>
      </w:pPr>
      <w:r w:rsidRPr="008610D7">
        <w:rPr>
          <w:rFonts w:ascii="標楷體" w:eastAsia="標楷體" w:hAnsi="Times New Roman" w:cs="Times New Roman" w:hint="eastAsia"/>
          <w:szCs w:val="20"/>
          <w:u w:val="single"/>
        </w:rPr>
        <w:t>已依規定設置審計委員會者，第一項對於監察人之規定，於審計委員會</w:t>
      </w:r>
      <w:proofErr w:type="gramStart"/>
      <w:r w:rsidRPr="008610D7">
        <w:rPr>
          <w:rFonts w:ascii="標楷體" w:eastAsia="標楷體" w:hAnsi="Times New Roman" w:cs="Times New Roman" w:hint="eastAsia"/>
          <w:szCs w:val="20"/>
          <w:u w:val="single"/>
        </w:rPr>
        <w:t>準</w:t>
      </w:r>
      <w:proofErr w:type="gramEnd"/>
      <w:r w:rsidRPr="008610D7">
        <w:rPr>
          <w:rFonts w:ascii="標楷體" w:eastAsia="標楷體" w:hAnsi="Times New Roman" w:cs="Times New Roman" w:hint="eastAsia"/>
          <w:szCs w:val="20"/>
          <w:u w:val="single"/>
        </w:rPr>
        <w:t>用之。</w:t>
      </w:r>
    </w:p>
    <w:p w:rsidR="002C55DA" w:rsidRPr="002C55DA" w:rsidRDefault="002C55DA" w:rsidP="002C55DA">
      <w:pPr>
        <w:numPr>
          <w:ilvl w:val="0"/>
          <w:numId w:val="2"/>
        </w:numPr>
        <w:tabs>
          <w:tab w:val="num" w:pos="1560"/>
        </w:tabs>
        <w:snapToGrid w:val="0"/>
        <w:spacing w:line="0" w:lineRule="atLeast"/>
        <w:ind w:left="1560" w:right="-51" w:hanging="480"/>
        <w:jc w:val="both"/>
        <w:rPr>
          <w:rFonts w:ascii="標楷體" w:eastAsia="標楷體" w:hAnsi="Times New Roman" w:cs="Times New Roman"/>
          <w:szCs w:val="20"/>
        </w:rPr>
      </w:pPr>
      <w:r w:rsidRPr="002C55DA">
        <w:rPr>
          <w:rFonts w:ascii="標楷體" w:eastAsia="標楷體" w:hAnsi="Times New Roman" w:cs="Times New Roman" w:hint="eastAsia"/>
          <w:szCs w:val="20"/>
        </w:rPr>
        <w:t>內部稽核人員應於次年二月底前將稽核報告</w:t>
      </w:r>
      <w:proofErr w:type="gramStart"/>
      <w:r w:rsidRPr="002C55DA">
        <w:rPr>
          <w:rFonts w:ascii="標楷體" w:eastAsia="標楷體" w:hAnsi="Times New Roman" w:cs="Times New Roman" w:hint="eastAsia"/>
          <w:szCs w:val="20"/>
        </w:rPr>
        <w:t>併</w:t>
      </w:r>
      <w:proofErr w:type="gramEnd"/>
      <w:r w:rsidRPr="002C55DA">
        <w:rPr>
          <w:rFonts w:ascii="標楷體" w:eastAsia="標楷體" w:hAnsi="Times New Roman" w:cs="Times New Roman" w:hint="eastAsia"/>
          <w:szCs w:val="20"/>
        </w:rPr>
        <w:t>同內部稽核作業年度查核情形向證期會申報，且至遲於次年五月底前將異常事項改善情形申報證期會備查。(本公司若已為上市、上櫃公司，適用此項；若本公司屬公開發行未</w:t>
      </w:r>
      <w:proofErr w:type="gramStart"/>
      <w:r w:rsidRPr="002C55DA">
        <w:rPr>
          <w:rFonts w:ascii="標楷體" w:eastAsia="標楷體" w:hAnsi="Times New Roman" w:cs="Times New Roman" w:hint="eastAsia"/>
          <w:szCs w:val="20"/>
        </w:rPr>
        <w:t>上市櫃者</w:t>
      </w:r>
      <w:proofErr w:type="gramEnd"/>
      <w:r w:rsidRPr="002C55DA">
        <w:rPr>
          <w:rFonts w:ascii="標楷體" w:eastAsia="標楷體" w:hAnsi="Times New Roman" w:cs="Times New Roman" w:hint="eastAsia"/>
          <w:szCs w:val="20"/>
        </w:rPr>
        <w:t>，則於</w:t>
      </w:r>
      <w:r w:rsidRPr="002C55DA">
        <w:rPr>
          <w:rFonts w:ascii="標楷體" w:eastAsia="標楷體" w:hAnsi="Times New Roman" w:cs="Times New Roman"/>
          <w:szCs w:val="20"/>
        </w:rPr>
        <w:t>93</w:t>
      </w:r>
      <w:r w:rsidRPr="002C55DA">
        <w:rPr>
          <w:rFonts w:ascii="標楷體" w:eastAsia="標楷體" w:hAnsi="Times New Roman" w:cs="Times New Roman" w:hint="eastAsia"/>
          <w:szCs w:val="20"/>
        </w:rPr>
        <w:t>年度起適用此項)</w:t>
      </w:r>
    </w:p>
    <w:p w:rsidR="002C55DA" w:rsidRPr="002C55DA" w:rsidRDefault="002C55DA" w:rsidP="002C55DA">
      <w:pPr>
        <w:snapToGrid w:val="0"/>
        <w:spacing w:line="0" w:lineRule="atLeast"/>
        <w:ind w:left="1202" w:hanging="1202"/>
        <w:jc w:val="both"/>
        <w:rPr>
          <w:rFonts w:ascii="標楷體" w:eastAsia="標楷體" w:hAnsi="標楷體" w:cs="Times New Roman"/>
          <w:szCs w:val="20"/>
        </w:rPr>
      </w:pPr>
      <w:r w:rsidRPr="002C55DA">
        <w:rPr>
          <w:rFonts w:ascii="標楷體" w:eastAsia="標楷體" w:hAnsi="標楷體" w:cs="Times New Roman" w:hint="eastAsia"/>
          <w:szCs w:val="20"/>
        </w:rPr>
        <w:t>第 九 條</w:t>
      </w:r>
      <w:r w:rsidRPr="002C55DA">
        <w:rPr>
          <w:rFonts w:ascii="標楷體" w:eastAsia="標楷體" w:hAnsi="標楷體" w:cs="Times New Roman"/>
          <w:szCs w:val="20"/>
        </w:rPr>
        <w:t>：</w:t>
      </w:r>
      <w:r w:rsidRPr="002C55DA">
        <w:rPr>
          <w:rFonts w:ascii="標楷體" w:eastAsia="標楷體" w:hAnsi="標楷體" w:cs="Times New Roman" w:hint="eastAsia"/>
          <w:szCs w:val="20"/>
        </w:rPr>
        <w:t>定期評估方式</w:t>
      </w:r>
    </w:p>
    <w:p w:rsidR="002C55DA" w:rsidRDefault="008610D7" w:rsidP="008610D7">
      <w:pPr>
        <w:tabs>
          <w:tab w:val="num" w:pos="1560"/>
        </w:tabs>
        <w:snapToGrid w:val="0"/>
        <w:spacing w:line="0" w:lineRule="atLeast"/>
        <w:ind w:leftChars="473" w:left="1560" w:right="-51" w:hangingChars="177" w:hanging="425"/>
        <w:jc w:val="both"/>
        <w:rPr>
          <w:rFonts w:ascii="標楷體" w:eastAsia="標楷體" w:hAnsi="Times New Roman" w:cs="Times New Roman" w:hint="eastAsia"/>
          <w:szCs w:val="20"/>
        </w:rPr>
      </w:pPr>
      <w:r w:rsidRPr="008610D7">
        <w:rPr>
          <w:rFonts w:ascii="標楷體" w:eastAsia="標楷體" w:hAnsi="Times New Roman" w:cs="Times New Roman" w:hint="eastAsia"/>
          <w:szCs w:val="20"/>
          <w:u w:val="single"/>
        </w:rPr>
        <w:t>一、</w:t>
      </w:r>
      <w:r w:rsidR="002C55DA" w:rsidRPr="002C55DA">
        <w:rPr>
          <w:rFonts w:ascii="標楷體" w:eastAsia="標楷體" w:hAnsi="Times New Roman" w:cs="Times New Roman" w:hint="eastAsia"/>
          <w:szCs w:val="20"/>
        </w:rPr>
        <w:t>董事會應授權高階主管人員定期監督與評估從事衍生性商品交易是否確實依公司所</w:t>
      </w:r>
      <w:r w:rsidRPr="008610D7">
        <w:rPr>
          <w:rFonts w:ascii="標楷體" w:eastAsia="標楷體" w:hAnsi="Times New Roman" w:cs="Times New Roman" w:hint="eastAsia"/>
          <w:szCs w:val="20"/>
          <w:u w:val="single"/>
        </w:rPr>
        <w:t>定</w:t>
      </w:r>
      <w:r w:rsidR="002C55DA" w:rsidRPr="002C55DA">
        <w:rPr>
          <w:rFonts w:ascii="標楷體" w:eastAsia="標楷體" w:hAnsi="Times New Roman" w:cs="Times New Roman" w:hint="eastAsia"/>
          <w:szCs w:val="20"/>
        </w:rPr>
        <w:t>之交易程序辦理，及所承擔風險是否在容許</w:t>
      </w:r>
      <w:proofErr w:type="gramStart"/>
      <w:r w:rsidR="002C55DA" w:rsidRPr="002C55DA">
        <w:rPr>
          <w:rFonts w:ascii="標楷體" w:eastAsia="標楷體" w:hAnsi="Times New Roman" w:cs="Times New Roman" w:hint="eastAsia"/>
          <w:szCs w:val="20"/>
        </w:rPr>
        <w:t>承作</w:t>
      </w:r>
      <w:proofErr w:type="gramEnd"/>
      <w:r w:rsidR="002C55DA" w:rsidRPr="002C55DA">
        <w:rPr>
          <w:rFonts w:ascii="標楷體" w:eastAsia="標楷體" w:hAnsi="Times New Roman" w:cs="Times New Roman" w:hint="eastAsia"/>
          <w:szCs w:val="20"/>
        </w:rPr>
        <w:t>範圍內、市價評估報告有異常情形時(如持有部位已逾損失受限)時，應立即向董事會報告，並</w:t>
      </w:r>
      <w:proofErr w:type="gramStart"/>
      <w:r w:rsidR="002C55DA" w:rsidRPr="002C55DA">
        <w:rPr>
          <w:rFonts w:ascii="標楷體" w:eastAsia="標楷體" w:hAnsi="Times New Roman" w:cs="Times New Roman" w:hint="eastAsia"/>
          <w:szCs w:val="20"/>
        </w:rPr>
        <w:t>採</w:t>
      </w:r>
      <w:proofErr w:type="gramEnd"/>
      <w:r w:rsidR="002C55DA" w:rsidRPr="002C55DA">
        <w:rPr>
          <w:rFonts w:ascii="標楷體" w:eastAsia="標楷體" w:hAnsi="Times New Roman" w:cs="Times New Roman" w:hint="eastAsia"/>
          <w:szCs w:val="20"/>
        </w:rPr>
        <w:t>因應之措施。</w:t>
      </w:r>
    </w:p>
    <w:p w:rsidR="002C55DA" w:rsidRPr="008610D7" w:rsidRDefault="008610D7" w:rsidP="008610D7">
      <w:pPr>
        <w:tabs>
          <w:tab w:val="num" w:pos="1560"/>
        </w:tabs>
        <w:snapToGrid w:val="0"/>
        <w:spacing w:line="0" w:lineRule="atLeast"/>
        <w:ind w:leftChars="473" w:left="1560" w:right="-51" w:hangingChars="177" w:hanging="425"/>
        <w:jc w:val="both"/>
        <w:rPr>
          <w:rFonts w:ascii="標楷體" w:eastAsia="標楷體" w:hAnsi="Times New Roman" w:cs="Times New Roman"/>
          <w:szCs w:val="20"/>
        </w:rPr>
      </w:pPr>
      <w:r w:rsidRPr="008610D7">
        <w:rPr>
          <w:rFonts w:ascii="標楷體" w:eastAsia="標楷體" w:hAnsi="Times New Roman" w:cs="Times New Roman" w:hint="eastAsia"/>
          <w:szCs w:val="20"/>
          <w:u w:val="single"/>
        </w:rPr>
        <w:t>二、</w:t>
      </w:r>
      <w:r w:rsidR="002C55DA" w:rsidRPr="008610D7">
        <w:rPr>
          <w:rFonts w:ascii="標楷體" w:eastAsia="標楷體" w:hAnsi="Times New Roman" w:cs="Times New Roman" w:hint="eastAsia"/>
          <w:szCs w:val="20"/>
        </w:rPr>
        <w:t>衍生性商品交易所持有之部位至少每週應評估一次，惟若為業務需要辦理之避險性交易至少每月應評估二次，其評估報告應呈送董事會授權之高階主管人員。</w:t>
      </w:r>
    </w:p>
    <w:p w:rsidR="002C55DA" w:rsidRPr="002C55DA" w:rsidRDefault="002C55DA" w:rsidP="002C55DA">
      <w:pPr>
        <w:snapToGrid w:val="0"/>
        <w:spacing w:line="0" w:lineRule="atLeast"/>
        <w:ind w:left="1202" w:hanging="1202"/>
        <w:jc w:val="both"/>
        <w:rPr>
          <w:rFonts w:ascii="標楷體" w:eastAsia="標楷體" w:hAnsi="標楷體" w:cs="Times New Roman"/>
          <w:szCs w:val="20"/>
        </w:rPr>
      </w:pPr>
      <w:r w:rsidRPr="002C55DA">
        <w:rPr>
          <w:rFonts w:ascii="標楷體" w:eastAsia="標楷體" w:hAnsi="標楷體" w:cs="Times New Roman" w:hint="eastAsia"/>
          <w:szCs w:val="20"/>
        </w:rPr>
        <w:t>第 十 條</w:t>
      </w:r>
      <w:r w:rsidRPr="002C55DA">
        <w:rPr>
          <w:rFonts w:ascii="標楷體" w:eastAsia="標楷體" w:hAnsi="標楷體" w:cs="Times New Roman"/>
          <w:szCs w:val="20"/>
        </w:rPr>
        <w:t>：</w:t>
      </w:r>
      <w:r w:rsidRPr="002C55DA">
        <w:rPr>
          <w:rFonts w:ascii="標楷體" w:eastAsia="標楷體" w:hAnsi="標楷體" w:cs="Times New Roman" w:hint="eastAsia"/>
          <w:szCs w:val="20"/>
        </w:rPr>
        <w:t>內部控制制度</w:t>
      </w:r>
    </w:p>
    <w:p w:rsidR="002C55DA" w:rsidRPr="002C55DA" w:rsidRDefault="002C55DA" w:rsidP="002C55DA">
      <w:pPr>
        <w:numPr>
          <w:ilvl w:val="0"/>
          <w:numId w:val="4"/>
        </w:numPr>
        <w:snapToGrid w:val="0"/>
        <w:spacing w:line="0" w:lineRule="atLeast"/>
        <w:ind w:left="1772" w:hanging="600"/>
        <w:jc w:val="both"/>
        <w:rPr>
          <w:rFonts w:ascii="標楷體" w:eastAsia="標楷體" w:hAnsi="標楷體" w:cs="Times New Roman"/>
          <w:szCs w:val="20"/>
        </w:rPr>
      </w:pPr>
      <w:r w:rsidRPr="002C55DA">
        <w:rPr>
          <w:rFonts w:ascii="標楷體" w:eastAsia="標楷體" w:hAnsi="Times New Roman" w:cs="Times New Roman" w:hint="eastAsia"/>
          <w:szCs w:val="20"/>
        </w:rPr>
        <w:t>交易及確認</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交割等作業人員不得互相兼任</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其有關風險之衡量</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監督與控制並應由不同部門人員負責向董事會或向不負交易或部位決策責任之高階主管人員報告</w:t>
      </w:r>
      <w:r w:rsidRPr="002C55DA">
        <w:rPr>
          <w:rFonts w:ascii="標楷體" w:eastAsia="標楷體" w:hAnsi="Times New Roman" w:cs="Times New Roman"/>
          <w:szCs w:val="20"/>
        </w:rPr>
        <w:t>。</w:t>
      </w:r>
    </w:p>
    <w:p w:rsidR="002C55DA" w:rsidRPr="002C55DA" w:rsidRDefault="002C55DA" w:rsidP="002C55DA">
      <w:pPr>
        <w:numPr>
          <w:ilvl w:val="0"/>
          <w:numId w:val="4"/>
        </w:numPr>
        <w:snapToGrid w:val="0"/>
        <w:spacing w:line="0" w:lineRule="atLeast"/>
        <w:ind w:left="1772" w:hanging="600"/>
        <w:jc w:val="both"/>
        <w:rPr>
          <w:rFonts w:ascii="標楷體" w:eastAsia="標楷體" w:hAnsi="標楷體" w:cs="Times New Roman"/>
          <w:szCs w:val="20"/>
        </w:rPr>
      </w:pPr>
      <w:r w:rsidRPr="002C55DA">
        <w:rPr>
          <w:rFonts w:ascii="標楷體" w:eastAsia="標楷體" w:hAnsi="標楷體" w:cs="Times New Roman" w:hint="eastAsia"/>
          <w:szCs w:val="20"/>
        </w:rPr>
        <w:t>董事會授權之高階主管人員應隨時注意衍生性商品交易風險之監督與控制，並定期評估從事衍生性商品交易之績效是否符合既定之經營策略，及承擔之風險是否在公司容許承受之範圍，並應定期評估目前使用之風險管理程序是否適當及確實依本處理程序之相關規定辦理。</w:t>
      </w:r>
    </w:p>
    <w:p w:rsidR="002C55DA" w:rsidRPr="002C55DA" w:rsidRDefault="002C55DA" w:rsidP="002C55DA">
      <w:pPr>
        <w:numPr>
          <w:ilvl w:val="0"/>
          <w:numId w:val="4"/>
        </w:numPr>
        <w:snapToGrid w:val="0"/>
        <w:spacing w:line="0" w:lineRule="atLeast"/>
        <w:ind w:left="1772" w:hanging="600"/>
        <w:jc w:val="both"/>
        <w:rPr>
          <w:rFonts w:ascii="標楷體" w:eastAsia="標楷體" w:hAnsi="標楷體" w:cs="Times New Roman"/>
          <w:szCs w:val="20"/>
        </w:rPr>
      </w:pPr>
      <w:r w:rsidRPr="002C55DA">
        <w:rPr>
          <w:rFonts w:ascii="標楷體" w:eastAsia="標楷體" w:hAnsi="Times New Roman" w:cs="Times New Roman" w:hint="eastAsia"/>
          <w:szCs w:val="20"/>
        </w:rPr>
        <w:t>監督交易及損益情形，發現有異常情事時，應採取必要之因應措施，並立即向董事會報告，已設置獨立董事者，董事會應有獨立董事出席並表示意見。</w:t>
      </w:r>
    </w:p>
    <w:p w:rsidR="002C55DA" w:rsidRPr="002C55DA" w:rsidRDefault="002C55DA" w:rsidP="002C55DA">
      <w:pPr>
        <w:snapToGrid w:val="0"/>
        <w:spacing w:line="0" w:lineRule="atLeast"/>
        <w:ind w:left="1202" w:hanging="1202"/>
        <w:jc w:val="both"/>
        <w:rPr>
          <w:rFonts w:ascii="標楷體" w:eastAsia="標楷體" w:hAnsi="標楷體" w:cs="Times New Roman"/>
          <w:szCs w:val="20"/>
        </w:rPr>
      </w:pPr>
    </w:p>
    <w:p w:rsidR="002C55DA" w:rsidRPr="002C55DA" w:rsidRDefault="002C55DA" w:rsidP="002C55DA">
      <w:pPr>
        <w:snapToGrid w:val="0"/>
        <w:spacing w:line="0" w:lineRule="atLeast"/>
        <w:ind w:left="1202" w:hanging="1202"/>
        <w:jc w:val="both"/>
        <w:rPr>
          <w:rFonts w:ascii="標楷體" w:eastAsia="標楷體" w:hAnsi="標楷體" w:cs="Times New Roman"/>
          <w:szCs w:val="20"/>
        </w:rPr>
      </w:pPr>
      <w:r w:rsidRPr="002C55DA">
        <w:rPr>
          <w:rFonts w:ascii="標楷體" w:eastAsia="標楷體" w:hAnsi="標楷體" w:cs="Times New Roman" w:hint="eastAsia"/>
          <w:szCs w:val="20"/>
        </w:rPr>
        <w:t>第十一條</w:t>
      </w:r>
      <w:r w:rsidRPr="002C55DA">
        <w:rPr>
          <w:rFonts w:ascii="標楷體" w:eastAsia="標楷體" w:hAnsi="標楷體" w:cs="Times New Roman"/>
          <w:szCs w:val="20"/>
        </w:rPr>
        <w:t>：</w:t>
      </w:r>
      <w:r w:rsidRPr="002C55DA">
        <w:rPr>
          <w:rFonts w:ascii="標楷體" w:eastAsia="標楷體" w:hAnsi="標楷體" w:cs="Times New Roman" w:hint="eastAsia"/>
          <w:szCs w:val="20"/>
        </w:rPr>
        <w:t>公告申報程序</w:t>
      </w:r>
    </w:p>
    <w:p w:rsidR="002C55DA" w:rsidRPr="002C55DA" w:rsidRDefault="002C55DA" w:rsidP="002C55DA">
      <w:pPr>
        <w:snapToGrid w:val="0"/>
        <w:spacing w:line="0" w:lineRule="atLeast"/>
        <w:ind w:left="1200"/>
        <w:jc w:val="both"/>
        <w:rPr>
          <w:rFonts w:ascii="標楷體" w:eastAsia="標楷體" w:hAnsi="Times New Roman" w:cs="Times New Roman"/>
          <w:szCs w:val="20"/>
        </w:rPr>
      </w:pPr>
      <w:r w:rsidRPr="002C55DA">
        <w:rPr>
          <w:rFonts w:ascii="標楷體" w:eastAsia="標楷體" w:hAnsi="Times New Roman" w:cs="Times New Roman" w:hint="eastAsia"/>
          <w:szCs w:val="20"/>
        </w:rPr>
        <w:t>本公司應於每月十日前，依財政部證券暨期貨管理委員會公告「公開發行公司從事衍生性商品交易處理要點」，將本公司及其子公司截至上月底止從事衍生性商品交易（含避險性及非避險性）之相關內容，</w:t>
      </w:r>
      <w:proofErr w:type="gramStart"/>
      <w:r w:rsidRPr="002C55DA">
        <w:rPr>
          <w:rFonts w:ascii="標楷體" w:eastAsia="標楷體" w:hAnsi="Times New Roman" w:cs="Times New Roman" w:hint="eastAsia"/>
          <w:szCs w:val="20"/>
        </w:rPr>
        <w:t>併</w:t>
      </w:r>
      <w:proofErr w:type="gramEnd"/>
      <w:r w:rsidRPr="002C55DA">
        <w:rPr>
          <w:rFonts w:ascii="標楷體" w:eastAsia="標楷體" w:hAnsi="Times New Roman" w:cs="Times New Roman" w:hint="eastAsia"/>
          <w:szCs w:val="20"/>
        </w:rPr>
        <w:t>同每月營運情形辦理公告並檢附公告報紙及其他有關資料向財政部證券暨期貨管理委員會申報</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202" w:hanging="1202"/>
        <w:jc w:val="both"/>
        <w:rPr>
          <w:rFonts w:ascii="標楷體" w:eastAsia="標楷體" w:hAnsi="Times New Roman" w:cs="Times New Roman"/>
          <w:szCs w:val="20"/>
        </w:rPr>
      </w:pPr>
      <w:r w:rsidRPr="002C55DA">
        <w:rPr>
          <w:rFonts w:ascii="標楷體" w:eastAsia="標楷體" w:hAnsi="Times New Roman" w:cs="Times New Roman" w:hint="eastAsia"/>
          <w:szCs w:val="20"/>
        </w:rPr>
        <w:t>第十二條</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罰則</w:t>
      </w:r>
    </w:p>
    <w:p w:rsidR="002C55DA" w:rsidRPr="002C55DA" w:rsidRDefault="002C55DA" w:rsidP="002C55DA">
      <w:pPr>
        <w:snapToGrid w:val="0"/>
        <w:spacing w:line="360" w:lineRule="atLeast"/>
        <w:ind w:left="1260"/>
        <w:jc w:val="both"/>
        <w:rPr>
          <w:rFonts w:ascii="標楷體" w:eastAsia="標楷體" w:hAnsi="Abadi MT Condensed Light" w:cs="Times New Roman"/>
          <w:szCs w:val="20"/>
        </w:rPr>
      </w:pPr>
      <w:r w:rsidRPr="002C55DA">
        <w:rPr>
          <w:rFonts w:ascii="標楷體" w:eastAsia="標楷體" w:hAnsi="Abadi MT Condensed Light" w:cs="Times New Roman" w:hint="eastAsia"/>
          <w:szCs w:val="20"/>
        </w:rPr>
        <w:t>本公司員工承辦衍生性商品交易時違反本處理程序規定者，依照本公司獎懲制度提報考核，依其情節輕重處罰。</w:t>
      </w:r>
    </w:p>
    <w:p w:rsidR="002C55DA" w:rsidRPr="002C55DA" w:rsidRDefault="002C55DA" w:rsidP="002C55DA">
      <w:pPr>
        <w:snapToGrid w:val="0"/>
        <w:spacing w:line="0" w:lineRule="atLeast"/>
        <w:jc w:val="both"/>
        <w:rPr>
          <w:rFonts w:ascii="標楷體" w:eastAsia="標楷體" w:hAnsi="標楷體" w:cs="Times New Roman"/>
          <w:szCs w:val="20"/>
        </w:rPr>
      </w:pPr>
      <w:r w:rsidRPr="002C55DA">
        <w:rPr>
          <w:rFonts w:ascii="標楷體" w:eastAsia="標楷體" w:hAnsi="標楷體" w:cs="Times New Roman" w:hint="eastAsia"/>
          <w:szCs w:val="20"/>
        </w:rPr>
        <w:t>第十三條</w:t>
      </w:r>
      <w:r w:rsidRPr="002C55DA">
        <w:rPr>
          <w:rFonts w:ascii="標楷體" w:eastAsia="標楷體" w:hAnsi="標楷體" w:cs="Times New Roman"/>
          <w:szCs w:val="20"/>
        </w:rPr>
        <w:t>：</w:t>
      </w:r>
      <w:r w:rsidRPr="002C55DA">
        <w:rPr>
          <w:rFonts w:ascii="標楷體" w:eastAsia="標楷體" w:hAnsi="標楷體" w:cs="Times New Roman" w:hint="eastAsia"/>
          <w:szCs w:val="20"/>
        </w:rPr>
        <w:t>實施與修訂</w:t>
      </w:r>
    </w:p>
    <w:p w:rsidR="002C55DA" w:rsidRPr="002C55DA" w:rsidRDefault="002C55DA" w:rsidP="002C55DA">
      <w:pPr>
        <w:snapToGrid w:val="0"/>
        <w:spacing w:line="360" w:lineRule="atLeast"/>
        <w:ind w:left="1260"/>
        <w:jc w:val="both"/>
        <w:rPr>
          <w:rFonts w:ascii="標楷體" w:eastAsia="標楷體" w:hAnsi="Abadi MT Condensed Light" w:cs="Times New Roman"/>
          <w:szCs w:val="20"/>
        </w:rPr>
      </w:pPr>
      <w:r w:rsidRPr="002C55DA">
        <w:rPr>
          <w:rFonts w:ascii="標楷體" w:eastAsia="標楷體" w:hAnsi="Abadi MT Condensed Light" w:cs="Times New Roman" w:hint="eastAsia"/>
          <w:szCs w:val="20"/>
        </w:rPr>
        <w:t>本公司『衍生性商品交易處理程序』經董事會通過後，送各監察人並提報股東會</w:t>
      </w:r>
      <w:r w:rsidRPr="002C55DA">
        <w:rPr>
          <w:rFonts w:ascii="標楷體" w:eastAsia="標楷體" w:hAnsi="Abadi MT Condensed Light" w:cs="Times New Roman" w:hint="eastAsia"/>
          <w:szCs w:val="20"/>
        </w:rPr>
        <w:lastRenderedPageBreak/>
        <w:t>同意，修正時亦同。如有董事表示異議且有紀錄或書面聲明者，公司並應將董事異議資料送各監察人。另外若本公司已設置獨立董事者，將『衍生性商品交易處理程序』提報董事會討論時，應充分考量各獨立董事之意見，並將其同意或反對之意見與理由列入會議紀錄。</w:t>
      </w:r>
    </w:p>
    <w:p w:rsidR="002C55DA" w:rsidRPr="002C55DA" w:rsidRDefault="002C55DA" w:rsidP="002C55DA">
      <w:pPr>
        <w:snapToGrid w:val="0"/>
        <w:spacing w:line="0" w:lineRule="atLeast"/>
        <w:ind w:left="1202" w:hanging="1202"/>
        <w:jc w:val="both"/>
        <w:rPr>
          <w:rFonts w:ascii="標楷體" w:eastAsia="標楷體" w:hAnsi="Times New Roman" w:cs="Times New Roman"/>
          <w:szCs w:val="20"/>
        </w:rPr>
      </w:pPr>
      <w:r w:rsidRPr="002C55DA">
        <w:rPr>
          <w:rFonts w:ascii="標楷體" w:eastAsia="標楷體" w:hAnsi="Times New Roman" w:cs="Times New Roman" w:hint="eastAsia"/>
          <w:szCs w:val="20"/>
        </w:rPr>
        <w:t>第十四條</w:t>
      </w:r>
      <w:r w:rsidRPr="002C55DA">
        <w:rPr>
          <w:rFonts w:ascii="標楷體" w:eastAsia="標楷體" w:hAnsi="Times New Roman" w:cs="Times New Roman"/>
          <w:szCs w:val="20"/>
        </w:rPr>
        <w:t>：</w:t>
      </w:r>
      <w:r w:rsidRPr="002C55DA">
        <w:rPr>
          <w:rFonts w:ascii="標楷體" w:eastAsia="標楷體" w:hAnsi="Times New Roman" w:cs="Times New Roman" w:hint="eastAsia"/>
          <w:szCs w:val="20"/>
        </w:rPr>
        <w:t>本辦法於</w:t>
      </w:r>
      <w:smartTag w:uri="urn:schemas-microsoft-com:office:smarttags" w:element="chsdate">
        <w:smartTagPr>
          <w:attr w:name="IsROCDate" w:val="False"/>
          <w:attr w:name="IsLunarDate" w:val="False"/>
          <w:attr w:name="Day" w:val="31"/>
          <w:attr w:name="Month" w:val="5"/>
          <w:attr w:name="Year" w:val="1988"/>
        </w:smartTagPr>
        <w:r w:rsidRPr="002C55DA">
          <w:rPr>
            <w:rFonts w:ascii="標楷體" w:eastAsia="標楷體" w:hAnsi="Times New Roman" w:cs="Times New Roman" w:hint="eastAsia"/>
            <w:szCs w:val="20"/>
          </w:rPr>
          <w:t>88年5月31日</w:t>
        </w:r>
      </w:smartTag>
      <w:r w:rsidRPr="002C55DA">
        <w:rPr>
          <w:rFonts w:ascii="標楷體" w:eastAsia="標楷體" w:hAnsi="Times New Roman" w:cs="Times New Roman" w:hint="eastAsia"/>
          <w:szCs w:val="20"/>
        </w:rPr>
        <w:t>經董事會通過後實施</w:t>
      </w:r>
      <w:r w:rsidRPr="002C55DA">
        <w:rPr>
          <w:rFonts w:ascii="標楷體" w:eastAsia="標楷體" w:hAnsi="Times New Roman" w:cs="Times New Roman"/>
          <w:szCs w:val="20"/>
        </w:rPr>
        <w:t>。</w:t>
      </w:r>
    </w:p>
    <w:p w:rsidR="002C55DA" w:rsidRPr="002C55DA" w:rsidRDefault="002C55DA" w:rsidP="002C55DA">
      <w:pPr>
        <w:snapToGrid w:val="0"/>
        <w:spacing w:line="0" w:lineRule="atLeast"/>
        <w:ind w:left="1200"/>
        <w:jc w:val="both"/>
        <w:rPr>
          <w:rFonts w:ascii="標楷體" w:eastAsia="標楷體" w:hAnsi="Times New Roman" w:cs="Times New Roman"/>
          <w:szCs w:val="20"/>
        </w:rPr>
      </w:pPr>
      <w:r w:rsidRPr="002C55DA">
        <w:rPr>
          <w:rFonts w:ascii="標楷體" w:eastAsia="標楷體" w:hAnsi="標楷體" w:cs="Times New Roman" w:hint="eastAsia"/>
          <w:szCs w:val="20"/>
        </w:rPr>
        <w:t>本辦法於</w:t>
      </w:r>
      <w:smartTag w:uri="urn:schemas-microsoft-com:office:smarttags" w:element="chsdate">
        <w:smartTagPr>
          <w:attr w:name="IsROCDate" w:val="False"/>
          <w:attr w:name="IsLunarDate" w:val="False"/>
          <w:attr w:name="Day" w:val="18"/>
          <w:attr w:name="Month" w:val="6"/>
          <w:attr w:name="Year" w:val="1992"/>
        </w:smartTagPr>
        <w:r w:rsidRPr="002C55DA">
          <w:rPr>
            <w:rFonts w:ascii="標楷體" w:eastAsia="標楷體" w:hAnsi="標楷體" w:cs="Times New Roman" w:hint="eastAsia"/>
            <w:szCs w:val="20"/>
          </w:rPr>
          <w:t>92年6月18日</w:t>
        </w:r>
      </w:smartTag>
      <w:r w:rsidRPr="002C55DA">
        <w:rPr>
          <w:rFonts w:ascii="標楷體" w:eastAsia="標楷體" w:hAnsi="標楷體" w:cs="Times New Roman" w:hint="eastAsia"/>
          <w:szCs w:val="20"/>
        </w:rPr>
        <w:t>經股東會通過後實施</w:t>
      </w:r>
      <w:r w:rsidRPr="002C55DA">
        <w:rPr>
          <w:rFonts w:ascii="標楷體" w:eastAsia="標楷體" w:hAnsi="標楷體" w:cs="Times New Roman"/>
          <w:szCs w:val="20"/>
        </w:rPr>
        <w:t>。</w:t>
      </w:r>
    </w:p>
    <w:p w:rsidR="00177292" w:rsidRPr="00E6392D" w:rsidRDefault="002C55DA" w:rsidP="00E6392D">
      <w:pPr>
        <w:snapToGrid w:val="0"/>
        <w:spacing w:line="0" w:lineRule="atLeast"/>
        <w:ind w:left="1200"/>
        <w:jc w:val="both"/>
        <w:rPr>
          <w:u w:val="single"/>
        </w:rPr>
      </w:pPr>
      <w:r w:rsidRPr="00E6392D">
        <w:rPr>
          <w:rFonts w:ascii="標楷體" w:eastAsia="標楷體" w:hAnsi="標楷體" w:cs="Times New Roman" w:hint="eastAsia"/>
          <w:szCs w:val="20"/>
          <w:u w:val="single"/>
        </w:rPr>
        <w:t>本辦法於10</w:t>
      </w:r>
      <w:r w:rsidR="00E6392D" w:rsidRPr="00E6392D">
        <w:rPr>
          <w:rFonts w:ascii="標楷體" w:eastAsia="標楷體" w:hAnsi="標楷體" w:cs="Times New Roman" w:hint="eastAsia"/>
          <w:szCs w:val="20"/>
          <w:u w:val="single"/>
        </w:rPr>
        <w:t>8</w:t>
      </w:r>
      <w:r w:rsidRPr="00E6392D">
        <w:rPr>
          <w:rFonts w:ascii="標楷體" w:eastAsia="標楷體" w:hAnsi="標楷體" w:cs="Times New Roman" w:hint="eastAsia"/>
          <w:szCs w:val="20"/>
          <w:u w:val="single"/>
        </w:rPr>
        <w:t>年6月1</w:t>
      </w:r>
      <w:r w:rsidR="00E6392D" w:rsidRPr="00E6392D">
        <w:rPr>
          <w:rFonts w:ascii="標楷體" w:eastAsia="標楷體" w:hAnsi="標楷體" w:cs="Times New Roman" w:hint="eastAsia"/>
          <w:szCs w:val="20"/>
          <w:u w:val="single"/>
        </w:rPr>
        <w:t>3</w:t>
      </w:r>
      <w:r w:rsidRPr="00E6392D">
        <w:rPr>
          <w:rFonts w:ascii="標楷體" w:eastAsia="標楷體" w:hAnsi="標楷體" w:cs="Times New Roman" w:hint="eastAsia"/>
          <w:szCs w:val="20"/>
          <w:u w:val="single"/>
        </w:rPr>
        <w:t>日經股東會通過後實施</w:t>
      </w:r>
      <w:r w:rsidRPr="00E6392D">
        <w:rPr>
          <w:rFonts w:ascii="標楷體" w:eastAsia="標楷體" w:hAnsi="標楷體" w:cs="Times New Roman"/>
          <w:szCs w:val="20"/>
          <w:u w:val="single"/>
        </w:rPr>
        <w:t>。</w:t>
      </w:r>
    </w:p>
    <w:sectPr w:rsidR="00177292" w:rsidRPr="00E6392D" w:rsidSect="00A42CC1">
      <w:footerReference w:type="default" r:id="rId8"/>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0D7" w:rsidRDefault="008610D7" w:rsidP="008610D7">
      <w:r>
        <w:separator/>
      </w:r>
    </w:p>
  </w:endnote>
  <w:endnote w:type="continuationSeparator" w:id="0">
    <w:p w:rsidR="008610D7" w:rsidRDefault="008610D7" w:rsidP="0086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badi MT Condensed Light">
    <w:altName w:val="Arial Narro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184504"/>
      <w:docPartObj>
        <w:docPartGallery w:val="Page Numbers (Bottom of Page)"/>
        <w:docPartUnique/>
      </w:docPartObj>
    </w:sdtPr>
    <w:sdtEndPr>
      <w:rPr>
        <w:sz w:val="22"/>
        <w:szCs w:val="22"/>
      </w:rPr>
    </w:sdtEndPr>
    <w:sdtContent>
      <w:p w:rsidR="00A42CC1" w:rsidRPr="00A42CC1" w:rsidRDefault="00A42CC1">
        <w:pPr>
          <w:pStyle w:val="a5"/>
          <w:jc w:val="center"/>
          <w:rPr>
            <w:sz w:val="22"/>
            <w:szCs w:val="22"/>
          </w:rPr>
        </w:pPr>
        <w:r w:rsidRPr="00A42CC1">
          <w:rPr>
            <w:sz w:val="22"/>
            <w:szCs w:val="22"/>
          </w:rPr>
          <w:fldChar w:fldCharType="begin"/>
        </w:r>
        <w:r w:rsidRPr="00A42CC1">
          <w:rPr>
            <w:sz w:val="22"/>
            <w:szCs w:val="22"/>
          </w:rPr>
          <w:instrText>PAGE   \* MERGEFORMAT</w:instrText>
        </w:r>
        <w:r w:rsidRPr="00A42CC1">
          <w:rPr>
            <w:sz w:val="22"/>
            <w:szCs w:val="22"/>
          </w:rPr>
          <w:fldChar w:fldCharType="separate"/>
        </w:r>
        <w:r w:rsidR="00D37364" w:rsidRPr="00D37364">
          <w:rPr>
            <w:noProof/>
            <w:sz w:val="22"/>
            <w:szCs w:val="22"/>
            <w:lang w:val="zh-TW"/>
          </w:rPr>
          <w:t>4</w:t>
        </w:r>
        <w:r w:rsidRPr="00A42CC1">
          <w:rPr>
            <w:sz w:val="22"/>
            <w:szCs w:val="22"/>
          </w:rPr>
          <w:fldChar w:fldCharType="end"/>
        </w:r>
      </w:p>
    </w:sdtContent>
  </w:sdt>
  <w:p w:rsidR="00A42CC1" w:rsidRDefault="00A42CC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0D7" w:rsidRDefault="008610D7" w:rsidP="008610D7">
      <w:r>
        <w:separator/>
      </w:r>
    </w:p>
  </w:footnote>
  <w:footnote w:type="continuationSeparator" w:id="0">
    <w:p w:rsidR="008610D7" w:rsidRDefault="008610D7" w:rsidP="00861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C6E18"/>
    <w:multiLevelType w:val="singleLevel"/>
    <w:tmpl w:val="9E4C39CC"/>
    <w:lvl w:ilvl="0">
      <w:start w:val="1"/>
      <w:numFmt w:val="taiwaneseCountingThousand"/>
      <w:lvlText w:val="%1、"/>
      <w:lvlJc w:val="left"/>
      <w:pPr>
        <w:tabs>
          <w:tab w:val="num" w:pos="482"/>
        </w:tabs>
        <w:ind w:left="482" w:hanging="482"/>
      </w:pPr>
      <w:rPr>
        <w:rFonts w:ascii="標楷體" w:eastAsia="標楷體" w:hAnsi="Times New Roman" w:cs="Times New Roman"/>
        <w:u w:val="single"/>
      </w:rPr>
    </w:lvl>
  </w:abstractNum>
  <w:abstractNum w:abstractNumId="1">
    <w:nsid w:val="20DC5627"/>
    <w:multiLevelType w:val="singleLevel"/>
    <w:tmpl w:val="F2AA22C4"/>
    <w:lvl w:ilvl="0">
      <w:start w:val="1"/>
      <w:numFmt w:val="taiwaneseCountingThousand"/>
      <w:lvlText w:val="(%1)"/>
      <w:lvlJc w:val="left"/>
      <w:pPr>
        <w:tabs>
          <w:tab w:val="num" w:pos="482"/>
        </w:tabs>
        <w:ind w:left="482" w:hanging="482"/>
      </w:pPr>
      <w:rPr>
        <w:rFonts w:hint="eastAsia"/>
      </w:rPr>
    </w:lvl>
  </w:abstractNum>
  <w:abstractNum w:abstractNumId="2">
    <w:nsid w:val="4BAC4D94"/>
    <w:multiLevelType w:val="singleLevel"/>
    <w:tmpl w:val="F5649B20"/>
    <w:lvl w:ilvl="0">
      <w:start w:val="1"/>
      <w:numFmt w:val="taiwaneseCountingThousand"/>
      <w:lvlText w:val="%1、"/>
      <w:lvlJc w:val="left"/>
      <w:pPr>
        <w:tabs>
          <w:tab w:val="num" w:pos="1642"/>
        </w:tabs>
        <w:ind w:left="1642" w:hanging="480"/>
      </w:pPr>
      <w:rPr>
        <w:rFonts w:hint="eastAsia"/>
      </w:rPr>
    </w:lvl>
  </w:abstractNum>
  <w:abstractNum w:abstractNumId="3">
    <w:nsid w:val="5F7E393E"/>
    <w:multiLevelType w:val="singleLevel"/>
    <w:tmpl w:val="8648FB8C"/>
    <w:lvl w:ilvl="0">
      <w:start w:val="1"/>
      <w:numFmt w:val="taiwaneseCountingThousand"/>
      <w:lvlText w:val="%1、"/>
      <w:lvlJc w:val="left"/>
      <w:pPr>
        <w:tabs>
          <w:tab w:val="num" w:pos="480"/>
        </w:tabs>
        <w:ind w:left="480" w:hanging="480"/>
      </w:pPr>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DA"/>
    <w:rsid w:val="00177292"/>
    <w:rsid w:val="002C55DA"/>
    <w:rsid w:val="008610D7"/>
    <w:rsid w:val="00A42CC1"/>
    <w:rsid w:val="00D37364"/>
    <w:rsid w:val="00E639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10D7"/>
    <w:pPr>
      <w:tabs>
        <w:tab w:val="center" w:pos="4153"/>
        <w:tab w:val="right" w:pos="8306"/>
      </w:tabs>
      <w:snapToGrid w:val="0"/>
    </w:pPr>
    <w:rPr>
      <w:sz w:val="20"/>
      <w:szCs w:val="20"/>
    </w:rPr>
  </w:style>
  <w:style w:type="character" w:customStyle="1" w:styleId="a4">
    <w:name w:val="頁首 字元"/>
    <w:basedOn w:val="a0"/>
    <w:link w:val="a3"/>
    <w:uiPriority w:val="99"/>
    <w:rsid w:val="008610D7"/>
    <w:rPr>
      <w:sz w:val="20"/>
      <w:szCs w:val="20"/>
    </w:rPr>
  </w:style>
  <w:style w:type="paragraph" w:styleId="a5">
    <w:name w:val="footer"/>
    <w:basedOn w:val="a"/>
    <w:link w:val="a6"/>
    <w:uiPriority w:val="99"/>
    <w:unhideWhenUsed/>
    <w:rsid w:val="008610D7"/>
    <w:pPr>
      <w:tabs>
        <w:tab w:val="center" w:pos="4153"/>
        <w:tab w:val="right" w:pos="8306"/>
      </w:tabs>
      <w:snapToGrid w:val="0"/>
    </w:pPr>
    <w:rPr>
      <w:sz w:val="20"/>
      <w:szCs w:val="20"/>
    </w:rPr>
  </w:style>
  <w:style w:type="character" w:customStyle="1" w:styleId="a6">
    <w:name w:val="頁尾 字元"/>
    <w:basedOn w:val="a0"/>
    <w:link w:val="a5"/>
    <w:uiPriority w:val="99"/>
    <w:rsid w:val="008610D7"/>
    <w:rPr>
      <w:sz w:val="20"/>
      <w:szCs w:val="20"/>
    </w:rPr>
  </w:style>
  <w:style w:type="paragraph" w:styleId="a7">
    <w:name w:val="List Paragraph"/>
    <w:basedOn w:val="a"/>
    <w:uiPriority w:val="34"/>
    <w:qFormat/>
    <w:rsid w:val="008610D7"/>
    <w:pPr>
      <w:ind w:leftChars="200" w:left="480"/>
    </w:pPr>
  </w:style>
  <w:style w:type="paragraph" w:styleId="a8">
    <w:name w:val="Balloon Text"/>
    <w:basedOn w:val="a"/>
    <w:link w:val="a9"/>
    <w:uiPriority w:val="99"/>
    <w:semiHidden/>
    <w:unhideWhenUsed/>
    <w:rsid w:val="00D3736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3736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10D7"/>
    <w:pPr>
      <w:tabs>
        <w:tab w:val="center" w:pos="4153"/>
        <w:tab w:val="right" w:pos="8306"/>
      </w:tabs>
      <w:snapToGrid w:val="0"/>
    </w:pPr>
    <w:rPr>
      <w:sz w:val="20"/>
      <w:szCs w:val="20"/>
    </w:rPr>
  </w:style>
  <w:style w:type="character" w:customStyle="1" w:styleId="a4">
    <w:name w:val="頁首 字元"/>
    <w:basedOn w:val="a0"/>
    <w:link w:val="a3"/>
    <w:uiPriority w:val="99"/>
    <w:rsid w:val="008610D7"/>
    <w:rPr>
      <w:sz w:val="20"/>
      <w:szCs w:val="20"/>
    </w:rPr>
  </w:style>
  <w:style w:type="paragraph" w:styleId="a5">
    <w:name w:val="footer"/>
    <w:basedOn w:val="a"/>
    <w:link w:val="a6"/>
    <w:uiPriority w:val="99"/>
    <w:unhideWhenUsed/>
    <w:rsid w:val="008610D7"/>
    <w:pPr>
      <w:tabs>
        <w:tab w:val="center" w:pos="4153"/>
        <w:tab w:val="right" w:pos="8306"/>
      </w:tabs>
      <w:snapToGrid w:val="0"/>
    </w:pPr>
    <w:rPr>
      <w:sz w:val="20"/>
      <w:szCs w:val="20"/>
    </w:rPr>
  </w:style>
  <w:style w:type="character" w:customStyle="1" w:styleId="a6">
    <w:name w:val="頁尾 字元"/>
    <w:basedOn w:val="a0"/>
    <w:link w:val="a5"/>
    <w:uiPriority w:val="99"/>
    <w:rsid w:val="008610D7"/>
    <w:rPr>
      <w:sz w:val="20"/>
      <w:szCs w:val="20"/>
    </w:rPr>
  </w:style>
  <w:style w:type="paragraph" w:styleId="a7">
    <w:name w:val="List Paragraph"/>
    <w:basedOn w:val="a"/>
    <w:uiPriority w:val="34"/>
    <w:qFormat/>
    <w:rsid w:val="008610D7"/>
    <w:pPr>
      <w:ind w:leftChars="200" w:left="480"/>
    </w:pPr>
  </w:style>
  <w:style w:type="paragraph" w:styleId="a8">
    <w:name w:val="Balloon Text"/>
    <w:basedOn w:val="a"/>
    <w:link w:val="a9"/>
    <w:uiPriority w:val="99"/>
    <w:semiHidden/>
    <w:unhideWhenUsed/>
    <w:rsid w:val="00D3736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373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474</Words>
  <Characters>2708</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ACC彭明瑜</dc:creator>
  <cp:lastModifiedBy>ACC彭明瑜</cp:lastModifiedBy>
  <cp:revision>5</cp:revision>
  <cp:lastPrinted>2019-03-08T09:56:00Z</cp:lastPrinted>
  <dcterms:created xsi:type="dcterms:W3CDTF">2019-03-08T08:35:00Z</dcterms:created>
  <dcterms:modified xsi:type="dcterms:W3CDTF">2019-03-08T10:00:00Z</dcterms:modified>
</cp:coreProperties>
</file>